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cs="Times New Roman"/>
          <w:b/>
          <w:bCs/>
          <w:sz w:val="28"/>
          <w:szCs w:val="28"/>
          <w:u w:val="single"/>
          <w:lang w:val="en-IN"/>
        </w:rPr>
      </w:pPr>
      <w:r>
        <w:rPr>
          <w:rFonts w:hint="default" w:ascii="Times New Roman" w:hAnsi="Times New Roman" w:cs="Times New Roman"/>
          <w:b/>
          <w:bCs/>
          <w:sz w:val="28"/>
          <w:szCs w:val="28"/>
          <w:u w:val="single"/>
          <w:lang w:val="en-IN"/>
        </w:rPr>
        <w:t>Solubility of Drugs</w:t>
      </w:r>
    </w:p>
    <w:p>
      <w:pPr>
        <w:spacing w:line="360" w:lineRule="auto"/>
        <w:rPr>
          <w:rFonts w:hint="default" w:ascii="Times New Roman" w:hAnsi="Times New Roman" w:cs="Times New Roman"/>
          <w:b/>
          <w:bCs/>
          <w:sz w:val="24"/>
          <w:szCs w:val="24"/>
        </w:rPr>
      </w:pPr>
      <w:r>
        <w:rPr>
          <w:rFonts w:hint="default" w:ascii="Times New Roman" w:hAnsi="Times New Roman" w:cs="Times New Roman"/>
          <w:b/>
          <w:bCs/>
          <w:sz w:val="24"/>
          <w:szCs w:val="24"/>
        </w:rPr>
        <w:t>Definition of Terms:</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 Solution- a mixture of two or more components that form a single phase which is homogenous down to the molecular level. Mixing is spontaneous, mixtures are thermodynamically stable, in</w:t>
      </w:r>
      <w:r>
        <w:rPr>
          <w:rFonts w:hint="default" w:ascii="Times New Roman" w:hAnsi="Times New Roman" w:cs="Times New Roman"/>
          <w:sz w:val="24"/>
          <w:szCs w:val="24"/>
          <w:lang w:val="en-IN"/>
        </w:rPr>
        <w:t>-</w:t>
      </w:r>
      <w:r>
        <w:rPr>
          <w:rFonts w:hint="default" w:ascii="Times New Roman" w:hAnsi="Times New Roman" w:cs="Times New Roman"/>
          <w:sz w:val="24"/>
          <w:szCs w:val="24"/>
        </w:rPr>
        <w:t xml:space="preserve">homogeneties on molecular levels, properties of solution are independent on the way they are prepared. </w:t>
      </w: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 Solvent(s)- Dissolves the solute. Determines the phase of solution. Usually constitute the largest proportion of the system. </w:t>
      </w: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 Solute(s)- Dissolved in the solvent(s)- dispersed as molecules throughout the solvent. </w:t>
      </w: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 Dissolution- the transfer of molecules from a solid state into a solution. </w:t>
      </w: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 Solubility- of a substance is the amount of the solute that passes into solution when the equilibrium is established. The solution that is obtained under these conditions is saturated. </w:t>
      </w: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 Unsaturated- less than max. amount of solute dissolved in solvent. </w:t>
      </w: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 Supersaturated- solutions that are formed by dissolving the solute to a level in excess of its solubility in</w:t>
      </w:r>
      <w:r>
        <w:rPr>
          <w:rFonts w:hint="default" w:ascii="Times New Roman" w:hAnsi="Times New Roman" w:cs="Times New Roman"/>
          <w:sz w:val="24"/>
          <w:szCs w:val="24"/>
          <w:lang w:val="en-IN"/>
        </w:rPr>
        <w:t xml:space="preserve"> </w:t>
      </w:r>
      <w:r>
        <w:rPr>
          <w:rFonts w:hint="default" w:ascii="Times New Roman" w:hAnsi="Times New Roman" w:cs="Times New Roman"/>
          <w:sz w:val="24"/>
          <w:szCs w:val="24"/>
        </w:rPr>
        <w:t xml:space="preserve">a particular solvent with the aid of heat. </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 Miscibility- 2 gases or 2 liquids</w:t>
      </w: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b w:val="0"/>
          <w:bCs w:val="0"/>
          <w:sz w:val="24"/>
          <w:szCs w:val="24"/>
        </w:rPr>
      </w:pPr>
      <w:r>
        <w:rPr>
          <w:rFonts w:hint="default" w:ascii="Times New Roman" w:hAnsi="Times New Roman"/>
          <w:b w:val="0"/>
          <w:bCs w:val="0"/>
          <w:sz w:val="24"/>
          <w:szCs w:val="24"/>
          <w:u w:val="single"/>
          <w:lang w:val="en-IN"/>
        </w:rPr>
        <w:t>T</w:t>
      </w:r>
      <w:r>
        <w:rPr>
          <w:rFonts w:hint="default" w:ascii="Times New Roman" w:hAnsi="Times New Roman"/>
          <w:b w:val="0"/>
          <w:bCs w:val="0"/>
          <w:sz w:val="24"/>
          <w:szCs w:val="24"/>
          <w:u w:val="single"/>
        </w:rPr>
        <w:t>rue solution</w:t>
      </w:r>
      <w:r>
        <w:rPr>
          <w:rFonts w:hint="default" w:ascii="Times New Roman" w:hAnsi="Times New Roman"/>
          <w:b w:val="0"/>
          <w:bCs w:val="0"/>
          <w:sz w:val="24"/>
          <w:szCs w:val="24"/>
          <w:u w:val="single"/>
          <w:lang w:val="en-IN"/>
        </w:rPr>
        <w:t xml:space="preserve"> : </w:t>
      </w:r>
      <w:r>
        <w:rPr>
          <w:rFonts w:hint="default" w:ascii="Times New Roman" w:hAnsi="Times New Roman"/>
          <w:b w:val="0"/>
          <w:bCs w:val="0"/>
          <w:sz w:val="24"/>
          <w:szCs w:val="24"/>
        </w:rPr>
        <w:t>A true solution is a mixture of two or more components that form a homogeneous molecular dispersion (a one-phase system).</w:t>
      </w:r>
    </w:p>
    <w:p>
      <w:pPr>
        <w:spacing w:line="360" w:lineRule="auto"/>
        <w:rPr>
          <w:rFonts w:hint="default" w:ascii="Times New Roman" w:hAnsi="Times New Roman"/>
          <w:b w:val="0"/>
          <w:bCs w:val="0"/>
          <w:sz w:val="24"/>
          <w:szCs w:val="24"/>
        </w:rPr>
      </w:pPr>
      <w:r>
        <w:rPr>
          <w:rFonts w:hint="default" w:ascii="Times New Roman" w:hAnsi="Times New Roman"/>
          <w:b w:val="0"/>
          <w:bCs w:val="0"/>
          <w:sz w:val="24"/>
          <w:szCs w:val="24"/>
        </w:rPr>
        <w:t>•In a true solution, the suspended particles: completely dissolve .</w:t>
      </w:r>
    </w:p>
    <w:p>
      <w:pPr>
        <w:spacing w:line="360" w:lineRule="auto"/>
        <w:rPr>
          <w:rFonts w:hint="default" w:ascii="Times New Roman" w:hAnsi="Times New Roman"/>
          <w:b w:val="0"/>
          <w:bCs w:val="0"/>
          <w:sz w:val="24"/>
          <w:szCs w:val="24"/>
        </w:rPr>
      </w:pPr>
      <w:r>
        <w:rPr>
          <w:rFonts w:hint="default" w:ascii="Times New Roman" w:hAnsi="Times New Roman"/>
          <w:b w:val="0"/>
          <w:bCs w:val="0"/>
          <w:sz w:val="24"/>
          <w:szCs w:val="24"/>
        </w:rPr>
        <w:t>•are not large enough to scatter light are small enough to be evenly dispersed resulting in a homogeneous appearance.</w:t>
      </w:r>
    </w:p>
    <w:p>
      <w:pPr>
        <w:spacing w:line="360" w:lineRule="auto"/>
        <w:rPr>
          <w:rFonts w:hint="default" w:ascii="Times New Roman" w:hAnsi="Times New Roman"/>
          <w:b w:val="0"/>
          <w:bCs w:val="0"/>
          <w:sz w:val="24"/>
          <w:szCs w:val="24"/>
        </w:rPr>
      </w:pPr>
    </w:p>
    <w:p>
      <w:pPr>
        <w:spacing w:line="360" w:lineRule="auto"/>
        <w:rPr>
          <w:rFonts w:hint="default" w:ascii="Times New Roman" w:hAnsi="Times New Roman"/>
          <w:b w:val="0"/>
          <w:bCs w:val="0"/>
          <w:sz w:val="24"/>
          <w:szCs w:val="24"/>
        </w:rPr>
      </w:pPr>
    </w:p>
    <w:p>
      <w:pPr>
        <w:spacing w:line="360" w:lineRule="auto"/>
        <w:rPr>
          <w:rFonts w:hint="default" w:ascii="Times New Roman" w:hAnsi="Times New Roman"/>
          <w:b w:val="0"/>
          <w:bCs w:val="0"/>
          <w:sz w:val="24"/>
          <w:szCs w:val="24"/>
        </w:rPr>
      </w:pPr>
    </w:p>
    <w:p>
      <w:pPr>
        <w:spacing w:line="360" w:lineRule="auto"/>
        <w:rPr>
          <w:rFonts w:hint="default" w:ascii="Times New Roman" w:hAnsi="Times New Roman"/>
          <w:b w:val="0"/>
          <w:bCs w:val="0"/>
          <w:sz w:val="24"/>
          <w:szCs w:val="24"/>
          <w:lang w:val="en-IN"/>
        </w:rPr>
      </w:pPr>
      <w:r>
        <w:rPr>
          <w:rFonts w:hint="default" w:ascii="Times New Roman" w:hAnsi="Times New Roman"/>
          <w:b w:val="0"/>
          <w:bCs w:val="0"/>
          <w:sz w:val="24"/>
          <w:szCs w:val="24"/>
        </w:rPr>
        <w:t>Dispersion systems</w:t>
      </w:r>
      <w:r>
        <w:rPr>
          <w:rFonts w:hint="default" w:ascii="Times New Roman" w:hAnsi="Times New Roman"/>
          <w:b w:val="0"/>
          <w:bCs w:val="0"/>
          <w:sz w:val="24"/>
          <w:szCs w:val="24"/>
          <w:lang w:val="en-IN"/>
        </w:rPr>
        <w:t xml:space="preserve">: </w:t>
      </w:r>
    </w:p>
    <w:p>
      <w:pPr>
        <w:spacing w:line="360" w:lineRule="auto"/>
        <w:rPr>
          <w:rFonts w:hint="default" w:ascii="Times New Roman" w:hAnsi="Times New Roman"/>
          <w:b w:val="0"/>
          <w:bCs w:val="0"/>
          <w:sz w:val="24"/>
          <w:szCs w:val="24"/>
        </w:rPr>
      </w:pPr>
      <w:r>
        <w:rPr>
          <w:rFonts w:hint="default" w:ascii="Times New Roman" w:hAnsi="Times New Roman"/>
          <w:b w:val="0"/>
          <w:bCs w:val="0"/>
          <w:sz w:val="24"/>
          <w:szCs w:val="24"/>
        </w:rPr>
        <w:t>•A dispersion consists of at least two phases with one or more dispersed (internal) phases contained in a single continuous (external) phase.</w:t>
      </w:r>
    </w:p>
    <w:p>
      <w:pPr>
        <w:spacing w:line="360" w:lineRule="auto"/>
        <w:rPr>
          <w:rFonts w:hint="default" w:ascii="Times New Roman" w:hAnsi="Times New Roman"/>
          <w:b w:val="0"/>
          <w:bCs w:val="0"/>
          <w:sz w:val="24"/>
          <w:szCs w:val="24"/>
        </w:rPr>
      </w:pPr>
      <w:r>
        <w:rPr>
          <w:rFonts w:hint="default" w:ascii="Times New Roman" w:hAnsi="Times New Roman"/>
          <w:b w:val="0"/>
          <w:bCs w:val="0"/>
          <w:sz w:val="24"/>
          <w:szCs w:val="24"/>
          <w:lang w:val="en-IN"/>
        </w:rPr>
        <w:t>-</w:t>
      </w:r>
      <w:r>
        <w:rPr>
          <w:rFonts w:hint="default" w:ascii="Times New Roman" w:hAnsi="Times New Roman"/>
          <w:b w:val="0"/>
          <w:bCs w:val="0"/>
          <w:sz w:val="24"/>
          <w:szCs w:val="24"/>
        </w:rPr>
        <w:t>coarse dispersions.</w:t>
      </w:r>
    </w:p>
    <w:p>
      <w:pPr>
        <w:spacing w:line="360" w:lineRule="auto"/>
        <w:rPr>
          <w:rFonts w:hint="default" w:ascii="Times New Roman" w:hAnsi="Times New Roman" w:cs="Times New Roman"/>
          <w:b w:val="0"/>
          <w:bCs w:val="0"/>
          <w:sz w:val="24"/>
          <w:szCs w:val="24"/>
        </w:rPr>
      </w:pPr>
      <w:r>
        <w:rPr>
          <w:rFonts w:hint="default" w:ascii="Times New Roman" w:hAnsi="Times New Roman"/>
          <w:b w:val="0"/>
          <w:bCs w:val="0"/>
          <w:sz w:val="24"/>
          <w:szCs w:val="24"/>
          <w:lang w:val="en-IN"/>
        </w:rPr>
        <w:t>-</w:t>
      </w:r>
      <w:r>
        <w:rPr>
          <w:rFonts w:hint="default" w:ascii="Times New Roman" w:hAnsi="Times New Roman"/>
          <w:b w:val="0"/>
          <w:bCs w:val="0"/>
          <w:sz w:val="24"/>
          <w:szCs w:val="24"/>
        </w:rPr>
        <w:t>colloidal dispersion</w:t>
      </w:r>
    </w:p>
    <w:p>
      <w:pPr>
        <w:spacing w:line="360" w:lineRule="auto"/>
        <w:rPr>
          <w:rFonts w:hint="default" w:ascii="Times New Roman" w:hAnsi="Times New Roman" w:cs="Times New Roman"/>
          <w:b w:val="0"/>
          <w:bCs w:val="0"/>
          <w:sz w:val="24"/>
          <w:szCs w:val="24"/>
        </w:rPr>
      </w:pPr>
    </w:p>
    <w:p>
      <w:pPr>
        <w:spacing w:line="360" w:lineRule="auto"/>
        <w:rPr>
          <w:rFonts w:hint="default" w:ascii="Times New Roman" w:hAnsi="Times New Roman"/>
          <w:b w:val="0"/>
          <w:bCs w:val="0"/>
          <w:sz w:val="24"/>
          <w:szCs w:val="24"/>
        </w:rPr>
      </w:pPr>
      <w:r>
        <w:rPr>
          <w:rFonts w:hint="default" w:ascii="Times New Roman" w:hAnsi="Times New Roman"/>
          <w:b w:val="0"/>
          <w:bCs w:val="0"/>
          <w:sz w:val="24"/>
          <w:szCs w:val="24"/>
        </w:rPr>
        <w:t>•The diameter of particles in coarse dispersions is greater than ~500 nm (0.5 µm). Two common pharmaceutical coarse dispersions are emulsions (liquid– liquid dispersions) and suspensions (solid–liquid dispersions).</w:t>
      </w:r>
    </w:p>
    <w:p>
      <w:pPr>
        <w:spacing w:line="360" w:lineRule="auto"/>
        <w:rPr>
          <w:rFonts w:hint="default" w:ascii="Times New Roman" w:hAnsi="Times New Roman"/>
          <w:b w:val="0"/>
          <w:bCs w:val="0"/>
          <w:sz w:val="24"/>
          <w:szCs w:val="24"/>
        </w:rPr>
      </w:pPr>
    </w:p>
    <w:p>
      <w:pPr>
        <w:spacing w:line="360" w:lineRule="auto"/>
        <w:rPr>
          <w:rFonts w:hint="default" w:ascii="Times New Roman" w:hAnsi="Times New Roman"/>
          <w:b w:val="0"/>
          <w:bCs w:val="0"/>
          <w:sz w:val="24"/>
          <w:szCs w:val="24"/>
        </w:rPr>
      </w:pPr>
      <w:r>
        <w:rPr>
          <w:rFonts w:hint="default" w:ascii="Times New Roman" w:hAnsi="Times New Roman"/>
          <w:b w:val="0"/>
          <w:bCs w:val="0"/>
          <w:sz w:val="24"/>
          <w:szCs w:val="24"/>
        </w:rPr>
        <w:t>A colloidal dispersion represents a system having a particle size intermediate between that of a true solution and a coarse dispersion, roughly 1 to 500 nm. A colloidal dispersion may be considered as a two-phase (heterogeneous) system under some circumstances.</w:t>
      </w:r>
    </w:p>
    <w:p>
      <w:pPr>
        <w:spacing w:line="360" w:lineRule="auto"/>
        <w:rPr>
          <w:rFonts w:hint="default" w:ascii="Times New Roman" w:hAnsi="Times New Roman"/>
          <w:b w:val="0"/>
          <w:bCs w:val="0"/>
          <w:sz w:val="24"/>
          <w:szCs w:val="24"/>
        </w:rPr>
      </w:pPr>
    </w:p>
    <w:p>
      <w:pPr>
        <w:spacing w:line="360" w:lineRule="auto"/>
        <w:rPr>
          <w:rFonts w:hint="default" w:ascii="Times New Roman" w:hAnsi="Times New Roman"/>
          <w:b/>
          <w:bCs/>
          <w:sz w:val="24"/>
          <w:szCs w:val="24"/>
        </w:rPr>
      </w:pPr>
      <w:r>
        <w:rPr>
          <w:rFonts w:hint="default" w:ascii="Times New Roman" w:hAnsi="Times New Roman"/>
          <w:b/>
          <w:bCs/>
          <w:sz w:val="24"/>
          <w:szCs w:val="24"/>
        </w:rPr>
        <w:t>Types of Solutions:</w:t>
      </w:r>
    </w:p>
    <w:p>
      <w:pPr>
        <w:spacing w:line="360" w:lineRule="auto"/>
        <w:rPr>
          <w:rFonts w:hint="default" w:ascii="Times New Roman" w:hAnsi="Times New Roman"/>
          <w:b w:val="0"/>
          <w:bCs w:val="0"/>
          <w:sz w:val="24"/>
          <w:szCs w:val="24"/>
        </w:rPr>
      </w:pPr>
      <w:r>
        <w:rPr>
          <w:rFonts w:hint="default" w:ascii="Times New Roman" w:hAnsi="Times New Roman"/>
          <w:b w:val="0"/>
          <w:bCs w:val="0"/>
          <w:sz w:val="24"/>
          <w:szCs w:val="24"/>
        </w:rPr>
        <w:t>♠A solution may be classified according to the states in which the solute and solvent occur. gas, liquid and</w:t>
      </w:r>
    </w:p>
    <w:p>
      <w:pPr>
        <w:spacing w:line="360" w:lineRule="auto"/>
        <w:rPr>
          <w:rFonts w:hint="default" w:ascii="Times New Roman" w:hAnsi="Times New Roman"/>
          <w:b w:val="0"/>
          <w:bCs w:val="0"/>
          <w:sz w:val="24"/>
          <w:szCs w:val="24"/>
        </w:rPr>
      </w:pPr>
      <w:r>
        <w:rPr>
          <w:rFonts w:hint="default" w:ascii="Times New Roman" w:hAnsi="Times New Roman"/>
          <w:b w:val="0"/>
          <w:bCs w:val="0"/>
          <w:sz w:val="24"/>
          <w:szCs w:val="24"/>
        </w:rPr>
        <w:t>crystalline , nine types of homogeneous mixtures of solute and solvent are possible.</w:t>
      </w:r>
    </w:p>
    <w:p>
      <w:pPr>
        <w:spacing w:line="360" w:lineRule="auto"/>
        <w:rPr>
          <w:rFonts w:hint="default" w:ascii="Times New Roman" w:hAnsi="Times New Roman"/>
          <w:b w:val="0"/>
          <w:bCs w:val="0"/>
          <w:sz w:val="24"/>
          <w:szCs w:val="24"/>
        </w:rPr>
      </w:pPr>
      <w:r>
        <w:rPr>
          <w:rFonts w:hint="default" w:ascii="Times New Roman" w:hAnsi="Times New Roman"/>
          <w:b w:val="0"/>
          <w:bCs w:val="0"/>
          <w:sz w:val="24"/>
          <w:szCs w:val="24"/>
        </w:rPr>
        <w:t>♠The solutes (whether gases, liquids or solids) are divided into two main classes; non electrolytes and electrolytes.</w:t>
      </w:r>
    </w:p>
    <w:p>
      <w:pPr>
        <w:spacing w:line="360" w:lineRule="auto"/>
        <w:rPr>
          <w:rFonts w:hint="default" w:ascii="Times New Roman" w:hAnsi="Times New Roman"/>
          <w:b w:val="0"/>
          <w:bCs w:val="0"/>
          <w:sz w:val="24"/>
          <w:szCs w:val="24"/>
        </w:rPr>
      </w:pPr>
      <w:r>
        <w:rPr>
          <w:rFonts w:hint="default" w:ascii="Times New Roman" w:hAnsi="Times New Roman"/>
          <w:b w:val="0"/>
          <w:bCs w:val="0"/>
          <w:sz w:val="24"/>
          <w:szCs w:val="24"/>
        </w:rPr>
        <w:t></w:t>
      </w:r>
      <w:r>
        <w:rPr>
          <w:rFonts w:hint="default" w:ascii="Times New Roman" w:hAnsi="Times New Roman"/>
          <w:b w:val="0"/>
          <w:bCs w:val="0"/>
          <w:sz w:val="24"/>
          <w:szCs w:val="24"/>
          <w:lang w:val="en-IN"/>
        </w:rPr>
        <w:tab/>
      </w:r>
      <w:r>
        <w:rPr>
          <w:rFonts w:hint="default" w:ascii="Times New Roman" w:hAnsi="Times New Roman"/>
          <w:b w:val="0"/>
          <w:bCs w:val="0"/>
          <w:sz w:val="24"/>
          <w:szCs w:val="24"/>
          <w:lang w:val="en-IN"/>
        </w:rPr>
        <w:tab/>
      </w:r>
      <w:r>
        <w:rPr>
          <w:rFonts w:hint="default" w:ascii="Times New Roman" w:hAnsi="Times New Roman"/>
          <w:b w:val="0"/>
          <w:bCs w:val="0"/>
          <w:sz w:val="24"/>
          <w:szCs w:val="24"/>
          <w:lang w:val="en-IN"/>
        </w:rPr>
        <w:tab/>
      </w:r>
      <w:r>
        <w:rPr>
          <w:rFonts w:hint="default" w:ascii="Times New Roman" w:hAnsi="Times New Roman"/>
          <w:b w:val="0"/>
          <w:bCs w:val="0"/>
          <w:sz w:val="24"/>
          <w:szCs w:val="24"/>
        </w:rPr>
        <w:t>Non electrolytes</w:t>
      </w:r>
    </w:p>
    <w:p>
      <w:pPr>
        <w:spacing w:line="360" w:lineRule="auto"/>
        <w:ind w:left="840" w:leftChars="0" w:firstLine="420" w:firstLineChars="0"/>
        <w:rPr>
          <w:rFonts w:hint="default" w:ascii="Times New Roman" w:hAnsi="Times New Roman"/>
          <w:b w:val="0"/>
          <w:bCs w:val="0"/>
          <w:sz w:val="24"/>
          <w:szCs w:val="24"/>
        </w:rPr>
      </w:pPr>
      <w:r>
        <w:rPr>
          <w:rFonts w:hint="default" w:ascii="Times New Roman" w:hAnsi="Times New Roman"/>
          <w:b w:val="0"/>
          <w:bCs w:val="0"/>
          <w:sz w:val="24"/>
          <w:szCs w:val="24"/>
        </w:rPr>
        <w:t>Electrolytes</w:t>
      </w:r>
    </w:p>
    <w:p>
      <w:pPr>
        <w:spacing w:line="360" w:lineRule="auto"/>
        <w:rPr>
          <w:rFonts w:hint="default" w:ascii="Times New Roman" w:hAnsi="Times New Roman"/>
          <w:b w:val="0"/>
          <w:bCs w:val="0"/>
          <w:sz w:val="24"/>
          <w:szCs w:val="24"/>
        </w:rPr>
      </w:pPr>
    </w:p>
    <w:p>
      <w:pPr>
        <w:spacing w:line="360" w:lineRule="auto"/>
        <w:rPr>
          <w:rFonts w:hint="default" w:ascii="Times New Roman" w:hAnsi="Times New Roman" w:cs="Times New Roman"/>
          <w:b/>
          <w:bCs/>
          <w:sz w:val="24"/>
          <w:szCs w:val="24"/>
        </w:rPr>
      </w:pPr>
      <w:r>
        <w:rPr>
          <w:rFonts w:hint="default" w:ascii="Times New Roman" w:hAnsi="Times New Roman" w:cs="Times New Roman"/>
          <w:b/>
          <w:bCs/>
          <w:sz w:val="24"/>
          <w:szCs w:val="24"/>
        </w:rPr>
        <w:t>Expressions of Concentration</w:t>
      </w:r>
      <w:r>
        <w:rPr>
          <w:rFonts w:hint="default" w:ascii="Times New Roman" w:hAnsi="Times New Roman" w:cs="Times New Roman"/>
          <w:b/>
          <w:bCs/>
          <w:sz w:val="24"/>
          <w:szCs w:val="24"/>
          <w:lang w:val="en-IN"/>
        </w:rPr>
        <w:t xml:space="preserve"> in solutions</w:t>
      </w:r>
      <w:r>
        <w:rPr>
          <w:rFonts w:hint="default" w:ascii="Times New Roman" w:hAnsi="Times New Roman" w:cs="Times New Roman"/>
          <w:b/>
          <w:bCs/>
          <w:sz w:val="24"/>
          <w:szCs w:val="24"/>
        </w:rPr>
        <w:t>:</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 Quantity per quantity- the weight/volume of solute that is contained in a given weight/volume of the solution. E.G. 1g/L, 0.1g per 100mL. </w:t>
      </w: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 Percentage- used with one of the four different meanings according to circumstances: % w/w, % w/v, % v/v and % v/w. </w:t>
      </w: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 Parts- number of ‘parts’ of solute dissolved in a stated no. ‘parts’ of solution, e/g/ ppm and ppb. </w:t>
      </w: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 Molarity- no. moles of solute in 1L of solution. Unit= mol/L. </w:t>
      </w: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 Molality- no. moles of solute divided by the mass of the solvent. Unit= mol/kg. </w:t>
      </w: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 Equivalent- mass (in g) of a substance that reacts with 6x10</w:t>
      </w:r>
      <w:r>
        <w:rPr>
          <w:rFonts w:hint="default" w:ascii="Times New Roman" w:hAnsi="Times New Roman" w:cs="Times New Roman"/>
          <w:sz w:val="24"/>
          <w:szCs w:val="24"/>
          <w:vertAlign w:val="superscript"/>
        </w:rPr>
        <w:t>23</w:t>
      </w:r>
      <w:r>
        <w:rPr>
          <w:rFonts w:hint="default" w:ascii="Times New Roman" w:hAnsi="Times New Roman" w:cs="Times New Roman"/>
          <w:sz w:val="24"/>
          <w:szCs w:val="24"/>
        </w:rPr>
        <w:t xml:space="preserve"> (Avogadro’s Number). It is equal to the amount of substance in moles divided by the valence of the substance. For monovalent ions, 1 </w:t>
      </w:r>
    </w:p>
    <w:p>
      <w:pPr>
        <w:spacing w:line="360" w:lineRule="auto"/>
        <w:rPr>
          <w:rFonts w:hint="default" w:ascii="Times New Roman" w:hAnsi="Times New Roman" w:cs="Times New Roman"/>
          <w:sz w:val="24"/>
          <w:szCs w:val="24"/>
        </w:rPr>
      </w:pPr>
    </w:p>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equivalent (Eq) = 1 mole. For divalent ions, 1Eq = 0.5 mol -&gt; 2Eq = 1 mole.</w:t>
      </w: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 Normal solutions- no. equivalents (in g) in 1L of solution. E.G. 1Eq/L (1N). </w:t>
      </w: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 Ratio- no. g or mL of solute in g of mL of solution -:- w/w, -:- w/v, -:- v/v, -:- v/w. E.G. 1:1000 w/v (1g</w:t>
      </w:r>
      <w:r>
        <w:rPr>
          <w:rFonts w:hint="default" w:ascii="Times New Roman" w:hAnsi="Times New Roman" w:cs="Times New Roman"/>
          <w:sz w:val="24"/>
          <w:szCs w:val="24"/>
          <w:lang w:val="en-IN"/>
        </w:rPr>
        <w:t xml:space="preserve"> </w:t>
      </w:r>
      <w:r>
        <w:rPr>
          <w:rFonts w:hint="default" w:ascii="Times New Roman" w:hAnsi="Times New Roman" w:cs="Times New Roman"/>
          <w:sz w:val="24"/>
          <w:szCs w:val="24"/>
        </w:rPr>
        <w:t xml:space="preserve">solute in 100mL preparation). </w:t>
      </w: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drawing>
          <wp:inline distT="0" distB="0" distL="114300" distR="114300">
            <wp:extent cx="4933950" cy="2876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4933950" cy="2876550"/>
                    </a:xfrm>
                    <a:prstGeom prst="rect">
                      <a:avLst/>
                    </a:prstGeom>
                    <a:noFill/>
                    <a:ln>
                      <a:noFill/>
                    </a:ln>
                  </pic:spPr>
                </pic:pic>
              </a:graphicData>
            </a:graphic>
          </wp:inline>
        </w:drawing>
      </w: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drawing>
          <wp:inline distT="0" distB="0" distL="114300" distR="114300">
            <wp:extent cx="4953000" cy="2676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stretch>
                      <a:fillRect/>
                    </a:stretch>
                  </pic:blipFill>
                  <pic:spPr>
                    <a:xfrm>
                      <a:off x="0" y="0"/>
                      <a:ext cx="4953000" cy="2676525"/>
                    </a:xfrm>
                    <a:prstGeom prst="rect">
                      <a:avLst/>
                    </a:prstGeom>
                    <a:noFill/>
                    <a:ln>
                      <a:noFill/>
                    </a:ln>
                  </pic:spPr>
                </pic:pic>
              </a:graphicData>
            </a:graphic>
          </wp:inline>
        </w:drawing>
      </w:r>
    </w:p>
    <w:p>
      <w:pPr>
        <w:spacing w:line="360" w:lineRule="auto"/>
        <w:rPr>
          <w:rFonts w:hint="default" w:ascii="Times New Roman" w:hAnsi="Times New Roman" w:cs="Times New Roman"/>
          <w:sz w:val="24"/>
          <w:szCs w:val="24"/>
          <w:lang w:val="en-IN"/>
        </w:rPr>
      </w:pPr>
    </w:p>
    <w:p>
      <w:pPr>
        <w:spacing w:line="360" w:lineRule="auto"/>
        <w:rPr>
          <w:rFonts w:hint="default" w:ascii="Times New Roman" w:hAnsi="Times New Roman"/>
          <w:sz w:val="24"/>
          <w:szCs w:val="24"/>
          <w:lang w:val="en-IN"/>
        </w:rPr>
      </w:pPr>
      <w:r>
        <w:rPr>
          <w:rFonts w:hint="default" w:ascii="Times New Roman" w:hAnsi="Times New Roman"/>
          <w:b/>
          <w:bCs/>
          <w:sz w:val="24"/>
          <w:szCs w:val="24"/>
          <w:lang w:val="en-IN"/>
        </w:rPr>
        <w:t>Importance of Solubility:</w:t>
      </w:r>
      <w:r>
        <w:rPr>
          <w:rFonts w:hint="default" w:ascii="Times New Roman" w:hAnsi="Times New Roman"/>
          <w:sz w:val="24"/>
          <w:szCs w:val="24"/>
          <w:lang w:val="en-IN"/>
        </w:rPr>
        <w:t xml:space="preserve"> </w:t>
      </w:r>
    </w:p>
    <w:p>
      <w:pPr>
        <w:spacing w:line="360" w:lineRule="auto"/>
        <w:jc w:val="both"/>
        <w:rPr>
          <w:rFonts w:hint="default" w:ascii="Times New Roman" w:hAnsi="Times New Roman"/>
          <w:sz w:val="24"/>
          <w:szCs w:val="24"/>
          <w:lang w:val="en-IN"/>
        </w:rPr>
      </w:pPr>
      <w:r>
        <w:rPr>
          <w:rFonts w:hint="default" w:ascii="Times New Roman" w:hAnsi="Times New Roman"/>
          <w:sz w:val="24"/>
          <w:szCs w:val="24"/>
          <w:lang w:val="en-IN"/>
        </w:rPr>
        <w:t>Oral ingestion is the most convenient and commonly employed route of drug delivery due to its ease of administration, high patient compliance, costeffectiveness, least sterility constraints, and flexibility in the design of dosage form. As a result, many of the generic drug companies are inclined more to produce bioequivalent oral drug products.</w:t>
      </w:r>
    </w:p>
    <w:p>
      <w:pPr>
        <w:spacing w:line="360" w:lineRule="auto"/>
        <w:jc w:val="both"/>
        <w:rPr>
          <w:rFonts w:hint="default" w:ascii="Times New Roman" w:hAnsi="Times New Roman"/>
          <w:sz w:val="24"/>
          <w:szCs w:val="24"/>
          <w:lang w:val="en-IN"/>
        </w:rPr>
      </w:pPr>
      <w:r>
        <w:rPr>
          <w:rFonts w:hint="default" w:ascii="Times New Roman" w:hAnsi="Times New Roman"/>
          <w:sz w:val="24"/>
          <w:szCs w:val="24"/>
          <w:lang w:val="en-IN"/>
        </w:rPr>
        <w:t>However, the major challenge with the design of oral dosage forms lies with their poor bioavailability. The oral bioavailability depends on several factors including aqueous solubility, drug permeability, dissolution rate, first-pass metabolism, presystemic metabolism, and susceptibility to efflux mechanisms. The most frequent causes of low oral bioavailability are attributed to poor solubility and low permeability.</w:t>
      </w:r>
    </w:p>
    <w:p>
      <w:pPr>
        <w:spacing w:line="360" w:lineRule="auto"/>
        <w:jc w:val="both"/>
        <w:rPr>
          <w:rFonts w:hint="default" w:ascii="Times New Roman" w:hAnsi="Times New Roman"/>
          <w:sz w:val="24"/>
          <w:szCs w:val="24"/>
          <w:lang w:val="en-IN"/>
        </w:rPr>
      </w:pPr>
      <w:r>
        <w:rPr>
          <w:rFonts w:hint="default" w:ascii="Times New Roman" w:hAnsi="Times New Roman"/>
          <w:sz w:val="24"/>
          <w:szCs w:val="24"/>
          <w:lang w:val="en-IN"/>
        </w:rPr>
        <w:t>Solubility also plays a major role for other dosage forms like parenteral formulations as well. Solubility is one of the important parameters to achieve desired concentration of drug in systemic circulation for achieving required pharmacological response. Poorly water soluble drugs often require high doses in order to reach therapeutic plasma concentrations after oral administration. Low aqueous solubility is the major problem encountered with formulation development of new chemical entities as well as generic development.</w:t>
      </w:r>
    </w:p>
    <w:p>
      <w:pPr>
        <w:spacing w:line="360" w:lineRule="auto"/>
        <w:jc w:val="both"/>
        <w:rPr>
          <w:rFonts w:hint="default" w:ascii="Times New Roman" w:hAnsi="Times New Roman"/>
          <w:sz w:val="24"/>
          <w:szCs w:val="24"/>
          <w:lang w:val="en-IN"/>
        </w:rPr>
      </w:pPr>
      <w:r>
        <w:rPr>
          <w:rFonts w:hint="default" w:ascii="Times New Roman" w:hAnsi="Times New Roman"/>
          <w:sz w:val="24"/>
          <w:szCs w:val="24"/>
          <w:lang w:val="en-IN"/>
        </w:rPr>
        <w:t>Any drug to be absorbed must be present in the form of an aqueous solution at the site of absorption. Water is the solvent of choice for liquid pharmaceutical formulations.</w:t>
      </w:r>
    </w:p>
    <w:p>
      <w:pPr>
        <w:spacing w:line="360" w:lineRule="auto"/>
        <w:jc w:val="both"/>
        <w:rPr>
          <w:rFonts w:hint="default" w:ascii="Times New Roman" w:hAnsi="Times New Roman"/>
          <w:sz w:val="24"/>
          <w:szCs w:val="24"/>
          <w:lang w:val="en-IN"/>
        </w:rPr>
      </w:pPr>
      <w:r>
        <w:rPr>
          <w:rFonts w:hint="default" w:ascii="Times New Roman" w:hAnsi="Times New Roman"/>
          <w:sz w:val="24"/>
          <w:szCs w:val="24"/>
          <w:lang w:val="en-IN"/>
        </w:rPr>
        <w:t>Most of the drugs are either weakly acidic or weakly basic having poor aqueous solubility.</w:t>
      </w:r>
    </w:p>
    <w:p>
      <w:pPr>
        <w:spacing w:line="360" w:lineRule="auto"/>
        <w:jc w:val="both"/>
        <w:rPr>
          <w:rFonts w:hint="default" w:ascii="Times New Roman" w:hAnsi="Times New Roman"/>
          <w:sz w:val="24"/>
          <w:szCs w:val="24"/>
          <w:lang w:val="en-IN"/>
        </w:rPr>
      </w:pPr>
      <w:r>
        <w:rPr>
          <w:rFonts w:hint="default" w:ascii="Times New Roman" w:hAnsi="Times New Roman"/>
          <w:sz w:val="24"/>
          <w:szCs w:val="24"/>
          <w:lang w:val="en-IN"/>
        </w:rPr>
        <w:t>More than 40% NCEs (new chemical entities) developed in pharmaceutical industry are practically insoluble in water. These poorly water soluble drugs having slow drug</w:t>
      </w:r>
    </w:p>
    <w:p>
      <w:pPr>
        <w:spacing w:line="360" w:lineRule="auto"/>
        <w:jc w:val="both"/>
        <w:rPr>
          <w:rFonts w:hint="default" w:ascii="Times New Roman" w:hAnsi="Times New Roman"/>
          <w:sz w:val="24"/>
          <w:szCs w:val="24"/>
          <w:lang w:val="en-IN"/>
        </w:rPr>
      </w:pPr>
      <w:r>
        <w:rPr>
          <w:rFonts w:hint="default" w:ascii="Times New Roman" w:hAnsi="Times New Roman"/>
          <w:sz w:val="24"/>
          <w:szCs w:val="24"/>
          <w:lang w:val="en-IN"/>
        </w:rPr>
        <w:t>absorption leads to inadequate and variable bioavailability and gastrointestinal mucosal toxicity. For orally administered drugs solubility is the most important one rate limiting parameter to achieve their desired concentration in systemic</w:t>
      </w:r>
    </w:p>
    <w:p>
      <w:pPr>
        <w:spacing w:line="360" w:lineRule="auto"/>
        <w:jc w:val="both"/>
        <w:rPr>
          <w:rFonts w:hint="default" w:ascii="Times New Roman" w:hAnsi="Times New Roman"/>
          <w:sz w:val="24"/>
          <w:szCs w:val="24"/>
          <w:lang w:val="en-IN"/>
        </w:rPr>
      </w:pPr>
      <w:r>
        <w:rPr>
          <w:rFonts w:hint="default" w:ascii="Times New Roman" w:hAnsi="Times New Roman"/>
          <w:sz w:val="24"/>
          <w:szCs w:val="24"/>
          <w:lang w:val="en-IN"/>
        </w:rPr>
        <w:t>circulation for pharmacological response. Problem of solubility is a major challenge for formulation scientist.</w:t>
      </w:r>
    </w:p>
    <w:p>
      <w:pPr>
        <w:spacing w:line="360" w:lineRule="auto"/>
        <w:jc w:val="both"/>
        <w:rPr>
          <w:rFonts w:hint="default" w:ascii="Times New Roman" w:hAnsi="Times New Roman"/>
          <w:sz w:val="24"/>
          <w:szCs w:val="24"/>
          <w:lang w:val="en-IN"/>
        </w:rPr>
      </w:pPr>
      <w:r>
        <w:rPr>
          <w:rFonts w:hint="default" w:ascii="Times New Roman" w:hAnsi="Times New Roman"/>
          <w:sz w:val="24"/>
          <w:szCs w:val="24"/>
          <w:lang w:val="en-IN"/>
        </w:rPr>
        <w:t>The improvement of drug solubility thereby its oral bioavailability remains one of the most challenging aspects of drug development process especially for oral-drug delivery system. There are numerous approaches available and reported in literature to enhance the solubility of poorly water-soluble drugs. The techniques are chosen on the basis of certain aspects such as properties of drug under consideration, nature of excipients to be selected, and nature of intended dosage form.</w:t>
      </w:r>
    </w:p>
    <w:p>
      <w:pPr>
        <w:spacing w:line="360" w:lineRule="auto"/>
        <w:jc w:val="both"/>
        <w:rPr>
          <w:rFonts w:hint="default" w:ascii="Times New Roman" w:hAnsi="Times New Roman"/>
          <w:sz w:val="24"/>
          <w:szCs w:val="24"/>
          <w:lang w:val="en-IN"/>
        </w:rPr>
      </w:pPr>
      <w:r>
        <w:rPr>
          <w:rFonts w:hint="default" w:ascii="Times New Roman" w:hAnsi="Times New Roman"/>
          <w:sz w:val="24"/>
          <w:szCs w:val="24"/>
          <w:lang w:val="en-IN"/>
        </w:rPr>
        <w:t>The poor solubility and low dissolution rate of poorly water soluble drugs in the aqueous gastrointestinal fluids often cause insufficient bioavailability. Especially for class II (low solubility and high permeability) substances according to the BCS, the bioavailability may be enhanced by increasing the solubility and dissolution rate of the drug in the gastrointestinal fluids. As for BCS class II drugs rate limiting</w:t>
      </w:r>
    </w:p>
    <w:p>
      <w:pPr>
        <w:spacing w:line="360" w:lineRule="auto"/>
        <w:jc w:val="both"/>
        <w:rPr>
          <w:rFonts w:hint="default" w:ascii="Times New Roman" w:hAnsi="Times New Roman"/>
          <w:sz w:val="24"/>
          <w:szCs w:val="24"/>
          <w:lang w:val="en-IN"/>
        </w:rPr>
      </w:pPr>
      <w:r>
        <w:rPr>
          <w:rFonts w:hint="default" w:ascii="Times New Roman" w:hAnsi="Times New Roman"/>
          <w:sz w:val="24"/>
          <w:szCs w:val="24"/>
          <w:lang w:val="en-IN"/>
        </w:rPr>
        <w:t>step is drug release from the dosage form and solubility in the gastric fluid and not the absorption, so increasing the solubility in turn increases the bioavailability for BCS class II drugs.</w:t>
      </w:r>
    </w:p>
    <w:p>
      <w:pPr>
        <w:spacing w:line="360" w:lineRule="auto"/>
        <w:jc w:val="both"/>
        <w:rPr>
          <w:rFonts w:hint="default" w:ascii="Times New Roman" w:hAnsi="Times New Roman"/>
          <w:sz w:val="24"/>
          <w:szCs w:val="24"/>
          <w:lang w:val="en-IN"/>
        </w:rPr>
      </w:pPr>
      <w:r>
        <w:rPr>
          <w:rFonts w:hint="default" w:ascii="Times New Roman" w:hAnsi="Times New Roman"/>
          <w:sz w:val="24"/>
          <w:szCs w:val="24"/>
          <w:lang w:val="en-IN"/>
        </w:rPr>
        <w:t>The negative effect of compounds with low solubility include poor absorption and bioavailability, insufficient solubility for IV dosing, development challenges leading to increasing the development cost and time, burden shifted to patient (frequent high-dose administration).</w:t>
      </w:r>
    </w:p>
    <w:p>
      <w:pPr>
        <w:spacing w:line="360" w:lineRule="auto"/>
        <w:jc w:val="both"/>
        <w:rPr>
          <w:rFonts w:hint="default" w:ascii="Times New Roman" w:hAnsi="Times New Roman"/>
          <w:sz w:val="24"/>
          <w:szCs w:val="24"/>
          <w:lang w:val="en-IN"/>
        </w:rPr>
      </w:pP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2845D3"/>
    <w:rsid w:val="0ADE2B97"/>
    <w:rsid w:val="147B66E7"/>
    <w:rsid w:val="1AF86A76"/>
    <w:rsid w:val="1BFB1D54"/>
    <w:rsid w:val="1C7D7C38"/>
    <w:rsid w:val="1E5A7FBE"/>
    <w:rsid w:val="1E745C60"/>
    <w:rsid w:val="1F7A0C83"/>
    <w:rsid w:val="238F2B83"/>
    <w:rsid w:val="25810AFF"/>
    <w:rsid w:val="26DE3429"/>
    <w:rsid w:val="2B754521"/>
    <w:rsid w:val="3108311C"/>
    <w:rsid w:val="32D86DCC"/>
    <w:rsid w:val="34553B29"/>
    <w:rsid w:val="345B6E91"/>
    <w:rsid w:val="35DA34CB"/>
    <w:rsid w:val="3C667BB0"/>
    <w:rsid w:val="3C730448"/>
    <w:rsid w:val="43A9681C"/>
    <w:rsid w:val="43E17A8E"/>
    <w:rsid w:val="44D53FC1"/>
    <w:rsid w:val="462845D3"/>
    <w:rsid w:val="470C6309"/>
    <w:rsid w:val="4C7347E6"/>
    <w:rsid w:val="4FE32A51"/>
    <w:rsid w:val="50072EB5"/>
    <w:rsid w:val="523C3842"/>
    <w:rsid w:val="52A172C4"/>
    <w:rsid w:val="557438E5"/>
    <w:rsid w:val="56027B3F"/>
    <w:rsid w:val="56284609"/>
    <w:rsid w:val="56A3198F"/>
    <w:rsid w:val="5A143195"/>
    <w:rsid w:val="5A5C2C92"/>
    <w:rsid w:val="5F7E2892"/>
    <w:rsid w:val="5FBD6358"/>
    <w:rsid w:val="60FE0D8B"/>
    <w:rsid w:val="665F0B0E"/>
    <w:rsid w:val="66EC122C"/>
    <w:rsid w:val="6B0F55A4"/>
    <w:rsid w:val="6D8B23AC"/>
    <w:rsid w:val="7F8F5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Arial" w:hAnsi="Arial" w:eastAsia="Arial" w:cs="Arial"/>
      <w:sz w:val="56"/>
      <w:szCs w:val="56"/>
      <w:lang w:val="en-US" w:eastAsia="en-US" w:bidi="en-US"/>
    </w:rPr>
  </w:style>
  <w:style w:type="paragraph" w:styleId="5">
    <w:name w:val="List Paragraph"/>
    <w:basedOn w:val="1"/>
    <w:qFormat/>
    <w:uiPriority w:val="1"/>
    <w:pPr>
      <w:ind w:left="1364" w:hanging="540"/>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Office_11.2.0.9396_F1E327BC-269C-435d-A152-05C5408002CA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2020-06-07T13:13:00Z</dcterms:created>
  <dc:creator>hp</dc:creator>
  <cp:lastModifiedBy>hp</cp:lastModifiedBy>
  <dcterms:modified xsi:type="dcterms:W3CDTF">2020-06-14T18:02:30Z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2057-11.2.0.9396</vt:lpwstr>
  </property>
</Properties>
</file>