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In the pharmaceutical industry, </w:t>
      </w:r>
      <w:r>
        <w:rPr>
          <w:rStyle w:val="5"/>
          <w:rFonts w:hint="default" w:ascii="Times New Roman" w:hAnsi="Times New Roman" w:cs="Times New Roman"/>
          <w:b w:val="0"/>
          <w:bCs w:val="0"/>
          <w:sz w:val="24"/>
          <w:szCs w:val="24"/>
        </w:rPr>
        <w:t>“technology transfer”</w:t>
      </w:r>
      <w:r>
        <w:rPr>
          <w:rFonts w:hint="default" w:ascii="Times New Roman" w:hAnsi="Times New Roman" w:cs="Times New Roman"/>
          <w:b w:val="0"/>
          <w:bCs w:val="0"/>
          <w:sz w:val="24"/>
          <w:szCs w:val="24"/>
        </w:rPr>
        <w:t> refers to the processes that are needed for successful progress from drug discovery to product development to clinical trials to full-scale commercialization or it is the process by which a developer of technology makes its technology available to commercial partner that will exploit the technology.</w:t>
      </w:r>
    </w:p>
    <w:p>
      <w:pPr>
        <w:pStyle w:val="2"/>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Learn about how to write “Technology Transfer” Protocol.</w:t>
      </w:r>
    </w:p>
    <w:p>
      <w:pPr>
        <w:spacing w:line="360" w:lineRule="auto"/>
        <w:jc w:val="both"/>
        <w:rPr>
          <w:rFonts w:hint="default" w:ascii="Times New Roman" w:hAnsi="Times New Roman" w:cs="Times New Roman"/>
          <w:vanish/>
          <w:sz w:val="24"/>
          <w:szCs w:val="24"/>
        </w:rPr>
      </w:pPr>
      <w:r>
        <w:rPr>
          <w:rFonts w:hint="default" w:ascii="Times New Roman" w:hAnsi="Times New Roman" w:cs="Times New Roman"/>
          <w:sz w:val="24"/>
          <w:szCs w:val="24"/>
        </w:rPr>
        <w:drawing>
          <wp:inline distT="0" distB="0" distL="114300" distR="114300">
            <wp:extent cx="5274310" cy="1431290"/>
            <wp:effectExtent l="9525" t="9525" r="12065"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stretch>
                      <a:fillRect/>
                    </a:stretch>
                  </pic:blipFill>
                  <pic:spPr>
                    <a:xfrm>
                      <a:off x="0" y="0"/>
                      <a:ext cx="5274310" cy="1431290"/>
                    </a:xfrm>
                    <a:prstGeom prst="rect">
                      <a:avLst/>
                    </a:prstGeom>
                    <a:noFill/>
                    <a:ln>
                      <a:solidFill>
                        <a:srgbClr val="0000FF"/>
                      </a:solidFill>
                    </a:ln>
                  </pic:spPr>
                </pic:pic>
              </a:graphicData>
            </a:graphic>
          </wp:inline>
        </w:drawing>
      </w:r>
    </w:p>
    <w:p>
      <w:pPr>
        <w:spacing w:line="360" w:lineRule="auto"/>
        <w:jc w:val="both"/>
        <w:rPr>
          <w:rFonts w:hint="default" w:ascii="Times New Roman" w:hAnsi="Times New Roman" w:cs="Times New Roman"/>
          <w:sz w:val="24"/>
          <w:szCs w:val="24"/>
        </w:rPr>
      </w:pPr>
    </w:p>
    <w:p>
      <w:pPr>
        <w:pStyle w:val="2"/>
        <w:keepNext w:val="0"/>
        <w:keepLines w:val="0"/>
        <w:widowControl/>
        <w:suppressLineNumbers w:val="0"/>
        <w:spacing w:line="360" w:lineRule="auto"/>
        <w:jc w:val="both"/>
        <w:rPr>
          <w:rFonts w:hint="default" w:ascii="Times New Roman" w:hAnsi="Times New Roman" w:cs="Times New Roman"/>
          <w:sz w:val="24"/>
          <w:szCs w:val="24"/>
        </w:rPr>
      </w:pPr>
      <w:r>
        <w:rPr>
          <w:rStyle w:val="6"/>
          <w:rFonts w:hint="default" w:ascii="Times New Roman" w:hAnsi="Times New Roman" w:cs="Times New Roman"/>
          <w:b/>
          <w:bCs/>
          <w:sz w:val="24"/>
          <w:szCs w:val="24"/>
        </w:rPr>
        <w:t>TECHNOLOGY TRANSFER PROTOCOL APPROVAL:</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technology transfer protocol is prepared by integrated inter-disciplinary team of cross functional experts from different departments including Research &amp; Development (R&amp;D), Quality Control (QC), Production Department, Quality Assurance (QA) and Maintenance.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272405" cy="1946275"/>
            <wp:effectExtent l="9525" t="9525" r="1397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stretch>
                      <a:fillRect/>
                    </a:stretch>
                  </pic:blipFill>
                  <pic:spPr>
                    <a:xfrm>
                      <a:off x="0" y="0"/>
                      <a:ext cx="5272405" cy="1946275"/>
                    </a:xfrm>
                    <a:prstGeom prst="rect">
                      <a:avLst/>
                    </a:prstGeom>
                    <a:noFill/>
                    <a:ln>
                      <a:solidFill>
                        <a:srgbClr val="0000FF"/>
                      </a:solidFill>
                    </a:ln>
                  </pic:spPr>
                </pic:pic>
              </a:graphicData>
            </a:graphic>
          </wp:inline>
        </w:drawing>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II.  PURPOSE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To provide documented evidence that (developed by R&amp;D) can be reproduced consistently against a set of predefined specifications.</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III. OBJECTIVE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To elucidate necessary information to transfer technology from R&amp;D to actual manufacturing by sorting out information obtained during R&amp;D work.</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IV.  SCOPE</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This protocol applies for complete technology transfer of product within (Company Name).</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rPr>
        <w:t>V.  KEY PERSONNEL AND THEIR RESPONSIBILITIES</w:t>
      </w:r>
      <w:r>
        <w:rPr>
          <w:rFonts w:hint="default" w:ascii="Times New Roman" w:hAnsi="Times New Roman" w:cs="Times New Roman"/>
          <w:sz w:val="24"/>
          <w:szCs w:val="24"/>
          <w:lang w:val="en-IN"/>
        </w:rPr>
        <w:t>:</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273040" cy="3945255"/>
            <wp:effectExtent l="0" t="0" r="381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stretch>
                      <a:fillRect/>
                    </a:stretch>
                  </pic:blipFill>
                  <pic:spPr>
                    <a:xfrm>
                      <a:off x="0" y="0"/>
                      <a:ext cx="5273040" cy="3945255"/>
                    </a:xfrm>
                    <a:prstGeom prst="rect">
                      <a:avLst/>
                    </a:prstGeom>
                    <a:noFill/>
                    <a:ln>
                      <a:noFill/>
                    </a:ln>
                  </pic:spPr>
                </pic:pic>
              </a:graphicData>
            </a:graphic>
          </wp:inline>
        </w:drawing>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269230" cy="3167380"/>
            <wp:effectExtent l="0" t="0" r="762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stretch>
                      <a:fillRect/>
                    </a:stretch>
                  </pic:blipFill>
                  <pic:spPr>
                    <a:xfrm>
                      <a:off x="0" y="0"/>
                      <a:ext cx="5269230" cy="3167380"/>
                    </a:xfrm>
                    <a:prstGeom prst="rect">
                      <a:avLst/>
                    </a:prstGeom>
                    <a:noFill/>
                    <a:ln>
                      <a:noFill/>
                    </a:ln>
                  </pic:spPr>
                </pic:pic>
              </a:graphicData>
            </a:graphic>
          </wp:inline>
        </w:drawing>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 xml:space="preserve"> VI.  TECHNOLOGY TRANSFER PROCESS</w:t>
      </w:r>
    </w:p>
    <w:p>
      <w:pPr>
        <w:spacing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 xml:space="preserve"> </w:t>
      </w:r>
    </w:p>
    <w:p>
      <w:pPr>
        <w:spacing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Quality is designed based on basic data concerning efficacy and safety obtained from various studies. Various standards for manufacturing and tests will be established in process during reviewing factory production and will be upgraded to the quality of product and the actual production will be started. The technology transfer consists of actions taken in these flows of development to realize the quality as designed during the development stage. The technology transfer processes are classified broadly as mentioned below:</w:t>
      </w:r>
    </w:p>
    <w:p>
      <w:pPr>
        <w:spacing w:line="360" w:lineRule="auto"/>
        <w:jc w:val="both"/>
        <w:rPr>
          <w:rFonts w:hint="default" w:ascii="Times New Roman" w:hAnsi="Times New Roman" w:cs="Times New Roman"/>
          <w:sz w:val="24"/>
          <w:szCs w:val="24"/>
          <w:lang w:val="en-IN"/>
        </w:rPr>
      </w:pPr>
    </w:p>
    <w:p>
      <w:pPr>
        <w:spacing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a. Quality Design (Research Phase)</w:t>
      </w:r>
    </w:p>
    <w:p>
      <w:pPr>
        <w:spacing w:line="360" w:lineRule="auto"/>
        <w:jc w:val="both"/>
        <w:rPr>
          <w:rFonts w:hint="default" w:ascii="Times New Roman" w:hAnsi="Times New Roman" w:cs="Times New Roman"/>
          <w:sz w:val="24"/>
          <w:szCs w:val="24"/>
          <w:lang w:val="en-IN"/>
        </w:rPr>
      </w:pPr>
      <w:r>
        <w:rPr>
          <w:rFonts w:hint="default" w:ascii="Times New Roman" w:hAnsi="Times New Roman" w:cs="Times New Roman"/>
          <w:sz w:val="24"/>
          <w:szCs w:val="24"/>
          <w:lang w:val="en-IN"/>
        </w:rPr>
        <w:t>During experimentation work at lab scale, various experiments are designed in order to comply with international quality standards and viability of product in terms of yield of the product. Following lab experiments are conducted:</w:t>
      </w:r>
    </w:p>
    <w:p>
      <w:pPr>
        <w:spacing w:line="360" w:lineRule="auto"/>
        <w:jc w:val="both"/>
        <w:rPr>
          <w:rFonts w:hint="default" w:ascii="Times New Roman" w:hAnsi="Times New Roman" w:cs="Times New Roman"/>
          <w:sz w:val="24"/>
          <w:szCs w:val="24"/>
          <w:lang w:val="en-IN"/>
        </w:rPr>
      </w:pP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b. Scale-up and detection of quality variability factors (Development Phase)</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i. Research for factory production</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To manufacture  as per quality standards obtained during lab experiments, it is required to establish appropriate quality control method and manufacturing method, after detecting variability factors to secure stable quality in the scale-up batches that is performed to realize factory production of  designed on the basis of results from small-scale experiments.</w:t>
      </w:r>
    </w:p>
    <w:p>
      <w:pPr>
        <w:spacing w:line="360" w:lineRule="auto"/>
        <w:jc w:val="both"/>
        <w:rPr>
          <w:rFonts w:hint="default" w:ascii="Times New Roman" w:hAnsi="Times New Roman"/>
          <w:sz w:val="24"/>
          <w:szCs w:val="24"/>
          <w:lang w:val="en-IN"/>
        </w:rPr>
      </w:pPr>
    </w:p>
    <w:p>
      <w:pPr>
        <w:spacing w:line="360" w:lineRule="auto"/>
        <w:jc w:val="both"/>
        <w:rPr>
          <w:rFonts w:hint="default" w:ascii="Times New Roman" w:hAnsi="Times New Roman"/>
          <w:sz w:val="24"/>
          <w:szCs w:val="24"/>
          <w:lang w:val="en-IN"/>
        </w:rPr>
      </w:pPr>
      <w:r>
        <w:drawing>
          <wp:inline distT="0" distB="0" distL="114300" distR="114300">
            <wp:extent cx="5271770" cy="2708275"/>
            <wp:effectExtent l="0" t="0" r="508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stretch>
                      <a:fillRect/>
                    </a:stretch>
                  </pic:blipFill>
                  <pic:spPr>
                    <a:xfrm>
                      <a:off x="0" y="0"/>
                      <a:ext cx="5271770" cy="2708275"/>
                    </a:xfrm>
                    <a:prstGeom prst="rect">
                      <a:avLst/>
                    </a:prstGeom>
                    <a:noFill/>
                    <a:ln>
                      <a:noFill/>
                    </a:ln>
                  </pic:spPr>
                </pic:pic>
              </a:graphicData>
            </a:graphic>
          </wp:inline>
        </w:drawing>
      </w:r>
    </w:p>
    <w:p>
      <w:pPr>
        <w:spacing w:line="360" w:lineRule="auto"/>
        <w:jc w:val="both"/>
        <w:rPr>
          <w:rFonts w:hint="default" w:ascii="Times New Roman" w:hAnsi="Times New Roman"/>
          <w:sz w:val="24"/>
          <w:szCs w:val="24"/>
          <w:lang w:val="en-IN"/>
        </w:rPr>
      </w:pP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iii. Assurance of consistency through development and manufacturing</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The quality parameters should be reproducible in the product. For this purpose, Research and Development (R&amp;D) transfers development data to production for commercial production.</w:t>
      </w:r>
    </w:p>
    <w:p>
      <w:pPr>
        <w:spacing w:line="360" w:lineRule="auto"/>
        <w:jc w:val="both"/>
        <w:rPr>
          <w:rFonts w:hint="default" w:ascii="Times New Roman" w:hAnsi="Times New Roman"/>
          <w:sz w:val="24"/>
          <w:szCs w:val="24"/>
          <w:lang w:val="en-IN"/>
        </w:rPr>
      </w:pP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c.       Technology transfer from R&amp;D to Production</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R&amp;D transfers technology to production department and it is essential to establish responsibility system and prepare documents to have adequate technology exchange between the both departments for successful transfer. While transferring technology of from R&amp;D department to production department technical information is compiled as development report.</w:t>
      </w:r>
    </w:p>
    <w:p>
      <w:pPr>
        <w:spacing w:line="360" w:lineRule="auto"/>
        <w:jc w:val="both"/>
        <w:rPr>
          <w:rFonts w:hint="default" w:ascii="Times New Roman" w:hAnsi="Times New Roman"/>
          <w:sz w:val="24"/>
          <w:szCs w:val="24"/>
          <w:lang w:val="en-IN"/>
        </w:rPr>
      </w:pP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d.      Validation and Production (Production Phase)</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Based on the above studies of  process at various steps during development of manufacturing process, Master Manufacturing Formula (MMF) is prepared by R&amp;D, which is reviewed and approved by Quality Assurance (QA) Department. From MMF, Batch Manufacturing Record (BMR) is derived and production is started in the plant at commercial scale based on the successful pilot scale batches which are proven to be validated batches. While starting production of  in the plant, the data obtained from R&amp;D department in the form of MMF is followed.</w:t>
      </w:r>
    </w:p>
    <w:p>
      <w:pPr>
        <w:spacing w:line="360" w:lineRule="auto"/>
        <w:jc w:val="both"/>
        <w:rPr>
          <w:rFonts w:hint="default" w:ascii="Times New Roman" w:hAnsi="Times New Roman"/>
          <w:sz w:val="24"/>
          <w:szCs w:val="24"/>
          <w:lang w:val="en-IN"/>
        </w:rPr>
      </w:pP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6.0 BENCHMARKING</w:t>
      </w:r>
    </w:p>
    <w:p>
      <w:pPr>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Benchmarking is the process of measuring quality standards of  against the best market product available. Benchmarking provides necessary insights to help us understand how our drug substance compares with market samples. In this process drug product has been compared with market samples; data shows that our material is comparable to market samples and HPLC chromatograms are also studied in terms of impurity profile.</w:t>
      </w:r>
    </w:p>
    <w:p>
      <w:pPr>
        <w:pStyle w:val="3"/>
        <w:keepNext w:val="0"/>
        <w:keepLines w:val="0"/>
        <w:widowControl/>
        <w:suppressLineNumbers w:val="0"/>
        <w:spacing w:line="360" w:lineRule="auto"/>
        <w:jc w:val="both"/>
        <w:rPr>
          <w:rFonts w:hint="default" w:ascii="Times New Roman" w:hAnsi="Times New Roman"/>
          <w:sz w:val="24"/>
          <w:szCs w:val="24"/>
          <w:lang w:val="en-IN"/>
        </w:rPr>
      </w:pPr>
      <w:r>
        <w:rPr>
          <w:rFonts w:hint="default" w:ascii="Times New Roman" w:hAnsi="Times New Roman"/>
          <w:sz w:val="24"/>
          <w:szCs w:val="24"/>
          <w:lang w:val="en-IN"/>
        </w:rPr>
        <w:t>7.0 CRITICAL STEPS AND CONTROL RANGE OF PROCESS PARAMETERS</w:t>
      </w:r>
    </w:p>
    <w:p>
      <w:pPr>
        <w:pStyle w:val="3"/>
        <w:keepNext w:val="0"/>
        <w:keepLines w:val="0"/>
        <w:widowControl/>
        <w:suppressLineNumbers w:val="0"/>
        <w:spacing w:line="360" w:lineRule="auto"/>
        <w:jc w:val="both"/>
      </w:pPr>
      <w:r>
        <w:drawing>
          <wp:inline distT="0" distB="0" distL="114300" distR="114300">
            <wp:extent cx="5271135" cy="1779270"/>
            <wp:effectExtent l="9525" t="9525" r="1524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stretch>
                      <a:fillRect/>
                    </a:stretch>
                  </pic:blipFill>
                  <pic:spPr>
                    <a:xfrm>
                      <a:off x="0" y="0"/>
                      <a:ext cx="5271135" cy="1779270"/>
                    </a:xfrm>
                    <a:prstGeom prst="rect">
                      <a:avLst/>
                    </a:prstGeom>
                    <a:noFill/>
                    <a:ln>
                      <a:solidFill>
                        <a:srgbClr val="0000FF"/>
                      </a:solidFill>
                    </a:ln>
                  </pic:spPr>
                </pic:pic>
              </a:graphicData>
            </a:graphic>
          </wp:inline>
        </w:drawing>
      </w:r>
    </w:p>
    <w:p>
      <w:pPr>
        <w:pStyle w:val="3"/>
        <w:keepNext w:val="0"/>
        <w:keepLines w:val="0"/>
        <w:widowControl/>
        <w:suppressLineNumbers w:val="0"/>
        <w:spacing w:line="360" w:lineRule="auto"/>
        <w:jc w:val="both"/>
      </w:pPr>
      <w:r>
        <w:rPr>
          <w:rFonts w:hint="default"/>
        </w:rPr>
        <w:t>8.0 PRODUCT SPECIFICATIONS:</w:t>
      </w:r>
      <w:bookmarkStart w:id="0" w:name="_GoBack"/>
      <w:bookmarkEnd w:id="0"/>
    </w:p>
    <w:p>
      <w:pPr>
        <w:pStyle w:val="3"/>
        <w:keepNext w:val="0"/>
        <w:keepLines w:val="0"/>
        <w:widowControl/>
        <w:suppressLineNumbers w:val="0"/>
        <w:spacing w:line="360" w:lineRule="auto"/>
        <w:jc w:val="both"/>
        <w:rPr>
          <w:rFonts w:hint="default"/>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MT">
    <w:altName w:val="Segoe Print"/>
    <w:panose1 w:val="00000000000000000000"/>
    <w:charset w:val="00"/>
    <w:family w:val="auto"/>
    <w:pitch w:val="default"/>
    <w:sig w:usb0="00000000" w:usb1="00000000" w:usb2="00000000" w:usb3="00000000" w:csb0="00000000" w:csb1="00000000"/>
  </w:font>
  <w:font w:name="SymbolMT">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E7979"/>
    <w:rsid w:val="13BA5C4B"/>
    <w:rsid w:val="18F96D77"/>
    <w:rsid w:val="2B217296"/>
    <w:rsid w:val="2C2C5FA4"/>
    <w:rsid w:val="2FE95453"/>
    <w:rsid w:val="36001214"/>
    <w:rsid w:val="61E6230C"/>
    <w:rsid w:val="673F116B"/>
    <w:rsid w:val="78CD48A4"/>
    <w:rsid w:val="7AF61C9A"/>
    <w:rsid w:val="7B9E7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2020-06-26T06:31:00Z</dcterms:created>
  <dc:creator>hp</dc:creator>
  <cp:lastModifiedBy>hp</cp:lastModifiedBy>
  <dcterms:modified xsi:type="dcterms:W3CDTF">2020-06-26T07:21:23Z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