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ind w:right="1514"/>
      </w:pPr>
      <w:r>
        <w:rPr>
          <w:color w:val="FF0000"/>
          <w:shd w:fill="FFFF00" w:color="auto" w:val="clear"/>
        </w:rPr>
        <w:t>Complexation and Protein Binding</w:t>
      </w:r>
    </w:p>
    <w:p>
      <w:pPr>
        <w:pStyle w:val="BodyText"/>
        <w:spacing w:before="262"/>
        <w:ind w:right="847" w:firstLine="1134"/>
      </w:pPr>
      <w:r>
        <w:rPr>
          <w:b/>
          <w:color w:val="FF0000"/>
          <w:shd w:fill="BFBFBF" w:color="auto" w:val="clear"/>
        </w:rPr>
        <w:t>Complexes</w:t>
      </w:r>
      <w:r>
        <w:rPr>
          <w:b/>
          <w:color w:val="FF0000"/>
        </w:rPr>
        <w:t> </w:t>
      </w:r>
      <w:r>
        <w:rPr>
          <w:color w:val="333333"/>
        </w:rPr>
        <w:t>or </w:t>
      </w:r>
      <w:r>
        <w:rPr>
          <w:b/>
          <w:color w:val="FF0000"/>
          <w:shd w:fill="BFBFBF" w:color="auto" w:val="clear"/>
        </w:rPr>
        <w:t>coordination compounds</w:t>
      </w:r>
      <w:r>
        <w:rPr>
          <w:color w:val="333333"/>
        </w:rPr>
        <w:t>, according to the classic definition, result from a donor–acceptor mechanism or Lewis acid–base reaction between two or more different chemical constituents.</w:t>
      </w:r>
    </w:p>
    <w:p>
      <w:pPr>
        <w:pStyle w:val="BodyText"/>
        <w:ind w:right="847" w:firstLine="1213"/>
      </w:pPr>
      <w:r>
        <w:rPr>
          <w:color w:val="333333"/>
        </w:rPr>
        <w:t>Any nonmetallic atom or ion, whether free or contained in a neutral molecule or in an ionic compound, that can donate an electron pair can serve as the donor. The acceptor, or constituent that accepts a share in the pair of electrons, is frequently a metallic ion, although it can be a neutral atom.</w:t>
      </w:r>
    </w:p>
    <w:p>
      <w:pPr>
        <w:pStyle w:val="BodyText"/>
        <w:ind w:left="956"/>
      </w:pPr>
      <w:r>
        <w:rPr>
          <w:color w:val="333333"/>
        </w:rPr>
        <w:t>Intermolecular forces involved in the formation of complexes are</w:t>
      </w:r>
    </w:p>
    <w:p>
      <w:pPr>
        <w:pStyle w:val="BodyText"/>
        <w:spacing w:before="262"/>
        <w:ind w:left="1978" w:right="3418"/>
      </w:pPr>
      <w:r>
        <w:rPr>
          <w:color w:val="333333"/>
        </w:rPr>
        <w:t>1- the van der Waals forces of dispersion. 2- dipolar, and induced dipolar types.</w:t>
      </w:r>
    </w:p>
    <w:p>
      <w:pPr>
        <w:pStyle w:val="ListParagraph"/>
        <w:numPr>
          <w:ilvl w:val="0"/>
          <w:numId w:val="1"/>
        </w:numPr>
        <w:tabs>
          <w:tab w:pos="2338" w:val="left" w:leader="none"/>
        </w:tabs>
        <w:spacing w:line="276" w:lineRule="auto" w:before="0" w:after="0"/>
        <w:ind w:left="2338" w:right="1119" w:hanging="360"/>
        <w:jc w:val="left"/>
        <w:rPr>
          <w:sz w:val="36"/>
        </w:rPr>
      </w:pPr>
      <w:r>
        <w:rPr>
          <w:color w:val="333333"/>
          <w:sz w:val="36"/>
        </w:rPr>
        <w:t>Hydrogen bonding provides a significant force in</w:t>
      </w:r>
      <w:r>
        <w:rPr>
          <w:color w:val="333333"/>
          <w:spacing w:val="-23"/>
          <w:sz w:val="36"/>
        </w:rPr>
        <w:t> </w:t>
      </w:r>
      <w:r>
        <w:rPr>
          <w:color w:val="333333"/>
          <w:sz w:val="36"/>
        </w:rPr>
        <w:t>some molecular</w:t>
      </w:r>
      <w:r>
        <w:rPr>
          <w:color w:val="333333"/>
          <w:spacing w:val="-1"/>
          <w:sz w:val="36"/>
        </w:rPr>
        <w:t> </w:t>
      </w:r>
      <w:r>
        <w:rPr>
          <w:color w:val="333333"/>
          <w:sz w:val="36"/>
        </w:rPr>
        <w:t>complexes.</w:t>
      </w:r>
    </w:p>
    <w:p>
      <w:pPr>
        <w:pStyle w:val="ListParagraph"/>
        <w:numPr>
          <w:ilvl w:val="0"/>
          <w:numId w:val="1"/>
        </w:numPr>
        <w:tabs>
          <w:tab w:pos="2428" w:val="left" w:leader="none"/>
        </w:tabs>
        <w:spacing w:line="352" w:lineRule="exact" w:before="0" w:after="0"/>
        <w:ind w:left="2428" w:right="0" w:hanging="450"/>
        <w:jc w:val="left"/>
        <w:rPr>
          <w:sz w:val="36"/>
        </w:rPr>
      </w:pPr>
      <w:r>
        <w:rPr>
          <w:color w:val="333333"/>
          <w:sz w:val="36"/>
        </w:rPr>
        <w:t>coordinate covalence is important in metal</w:t>
      </w:r>
      <w:r>
        <w:rPr>
          <w:color w:val="333333"/>
          <w:spacing w:val="-14"/>
          <w:sz w:val="36"/>
        </w:rPr>
        <w:t> </w:t>
      </w:r>
      <w:r>
        <w:rPr>
          <w:color w:val="333333"/>
          <w:sz w:val="36"/>
        </w:rPr>
        <w:t>complexes.</w:t>
      </w:r>
    </w:p>
    <w:p>
      <w:pPr>
        <w:pStyle w:val="Heading1"/>
        <w:spacing w:before="262"/>
        <w:ind w:left="1522"/>
        <w:jc w:val="left"/>
      </w:pPr>
      <w:r>
        <w:rPr>
          <w:color w:val="FF0000"/>
          <w:shd w:fill="FFFF00" w:color="auto" w:val="clear"/>
        </w:rPr>
        <w:t>Classification of Complexes</w:t>
      </w:r>
    </w:p>
    <w:p>
      <w:pPr>
        <w:pStyle w:val="Heading2"/>
        <w:numPr>
          <w:ilvl w:val="0"/>
          <w:numId w:val="2"/>
        </w:numPr>
        <w:tabs>
          <w:tab w:pos="2241" w:val="left" w:leader="none"/>
          <w:tab w:pos="2242" w:val="left" w:leader="none"/>
        </w:tabs>
        <w:spacing w:line="240" w:lineRule="auto" w:before="262" w:after="0"/>
        <w:ind w:left="2242" w:right="0" w:hanging="590"/>
        <w:jc w:val="left"/>
        <w:rPr>
          <w:i/>
          <w:u w:val="none"/>
        </w:rPr>
      </w:pPr>
      <w:r>
        <w:rPr>
          <w:i/>
          <w:color w:val="FF0000"/>
          <w:shd w:fill="BFBFBF" w:color="auto" w:val="clear"/>
          <w:u w:val="single" w:color="FF0000"/>
        </w:rPr>
        <w:t>Metal ion</w:t>
      </w:r>
      <w:r>
        <w:rPr>
          <w:i/>
          <w:color w:val="FF0000"/>
          <w:spacing w:val="-3"/>
          <w:shd w:fill="BFBFBF" w:color="auto" w:val="clear"/>
          <w:u w:val="single" w:color="FF0000"/>
        </w:rPr>
        <w:t> </w:t>
      </w:r>
      <w:r>
        <w:rPr>
          <w:i/>
          <w:color w:val="FF0000"/>
          <w:shd w:fill="BFBFBF" w:color="auto" w:val="clear"/>
          <w:u w:val="single" w:color="FF0000"/>
        </w:rPr>
        <w:t>complexes</w:t>
      </w:r>
    </w:p>
    <w:p>
      <w:pPr>
        <w:pStyle w:val="ListParagraph"/>
        <w:numPr>
          <w:ilvl w:val="1"/>
          <w:numId w:val="2"/>
        </w:numPr>
        <w:tabs>
          <w:tab w:pos="2875" w:val="left" w:leader="none"/>
          <w:tab w:pos="2876" w:val="left" w:leader="none"/>
        </w:tabs>
        <w:spacing w:line="240" w:lineRule="auto" w:before="0" w:after="0"/>
        <w:ind w:left="2876" w:right="0" w:hanging="710"/>
        <w:jc w:val="left"/>
        <w:rPr>
          <w:sz w:val="36"/>
        </w:rPr>
      </w:pPr>
      <w:r>
        <w:rPr>
          <w:sz w:val="36"/>
        </w:rPr>
        <w:t>Inorganic</w:t>
      </w:r>
      <w:r>
        <w:rPr>
          <w:spacing w:val="-2"/>
          <w:sz w:val="36"/>
        </w:rPr>
        <w:t> </w:t>
      </w:r>
      <w:r>
        <w:rPr>
          <w:sz w:val="36"/>
        </w:rPr>
        <w:t>type</w:t>
      </w:r>
    </w:p>
    <w:p>
      <w:pPr>
        <w:pStyle w:val="ListParagraph"/>
        <w:numPr>
          <w:ilvl w:val="1"/>
          <w:numId w:val="2"/>
        </w:numPr>
        <w:tabs>
          <w:tab w:pos="2875" w:val="left" w:leader="none"/>
          <w:tab w:pos="2876" w:val="left" w:leader="none"/>
        </w:tabs>
        <w:spacing w:line="240" w:lineRule="auto" w:before="0" w:after="0"/>
        <w:ind w:left="2876" w:right="0" w:hanging="690"/>
        <w:jc w:val="left"/>
        <w:rPr>
          <w:sz w:val="36"/>
        </w:rPr>
      </w:pPr>
      <w:r>
        <w:rPr>
          <w:sz w:val="36"/>
        </w:rPr>
        <w:t>Chelates</w:t>
      </w:r>
    </w:p>
    <w:p>
      <w:pPr>
        <w:pStyle w:val="ListParagraph"/>
        <w:numPr>
          <w:ilvl w:val="1"/>
          <w:numId w:val="2"/>
        </w:numPr>
        <w:tabs>
          <w:tab w:pos="2875" w:val="left" w:leader="none"/>
          <w:tab w:pos="2876" w:val="left" w:leader="none"/>
        </w:tabs>
        <w:spacing w:line="240" w:lineRule="auto" w:before="0" w:after="0"/>
        <w:ind w:left="2876" w:right="0" w:hanging="690"/>
        <w:jc w:val="left"/>
        <w:rPr>
          <w:sz w:val="36"/>
        </w:rPr>
      </w:pPr>
      <w:r>
        <w:rPr>
          <w:sz w:val="36"/>
        </w:rPr>
        <w:t>Olefin</w:t>
      </w:r>
      <w:r>
        <w:rPr>
          <w:spacing w:val="-2"/>
          <w:sz w:val="36"/>
        </w:rPr>
        <w:t> </w:t>
      </w:r>
      <w:r>
        <w:rPr>
          <w:sz w:val="36"/>
        </w:rPr>
        <w:t>type</w:t>
      </w:r>
    </w:p>
    <w:p>
      <w:pPr>
        <w:pStyle w:val="ListParagraph"/>
        <w:numPr>
          <w:ilvl w:val="1"/>
          <w:numId w:val="2"/>
        </w:numPr>
        <w:tabs>
          <w:tab w:pos="2875" w:val="left" w:leader="none"/>
          <w:tab w:pos="2876" w:val="left" w:leader="none"/>
        </w:tabs>
        <w:spacing w:line="240" w:lineRule="auto" w:before="0" w:after="0"/>
        <w:ind w:left="2876" w:right="0" w:hanging="710"/>
        <w:jc w:val="left"/>
        <w:rPr>
          <w:sz w:val="36"/>
        </w:rPr>
      </w:pPr>
      <w:r>
        <w:rPr>
          <w:sz w:val="36"/>
        </w:rPr>
        <w:t>Aromatic type</w:t>
      </w:r>
    </w:p>
    <w:p>
      <w:pPr>
        <w:pStyle w:val="ListParagraph"/>
        <w:numPr>
          <w:ilvl w:val="2"/>
          <w:numId w:val="2"/>
        </w:numPr>
        <w:tabs>
          <w:tab w:pos="3681" w:val="left" w:leader="none"/>
          <w:tab w:pos="3682" w:val="left" w:leader="none"/>
        </w:tabs>
        <w:spacing w:line="240" w:lineRule="auto" w:before="0" w:after="0"/>
        <w:ind w:left="3682" w:right="0" w:hanging="630"/>
        <w:jc w:val="left"/>
        <w:rPr>
          <w:sz w:val="36"/>
        </w:rPr>
      </w:pPr>
      <w:r>
        <w:rPr>
          <w:sz w:val="36"/>
        </w:rPr>
        <w:t>Pi (π)</w:t>
      </w:r>
      <w:r>
        <w:rPr>
          <w:spacing w:val="-2"/>
          <w:sz w:val="36"/>
        </w:rPr>
        <w:t> </w:t>
      </w:r>
      <w:r>
        <w:rPr>
          <w:sz w:val="36"/>
        </w:rPr>
        <w:t>complexes</w:t>
      </w:r>
    </w:p>
    <w:p>
      <w:pPr>
        <w:pStyle w:val="ListParagraph"/>
        <w:numPr>
          <w:ilvl w:val="2"/>
          <w:numId w:val="2"/>
        </w:numPr>
        <w:tabs>
          <w:tab w:pos="3681" w:val="left" w:leader="none"/>
          <w:tab w:pos="3682" w:val="left" w:leader="none"/>
        </w:tabs>
        <w:spacing w:line="240" w:lineRule="auto" w:before="0" w:after="0"/>
        <w:ind w:left="3682" w:right="0" w:hanging="630"/>
        <w:jc w:val="left"/>
        <w:rPr>
          <w:sz w:val="36"/>
        </w:rPr>
      </w:pPr>
      <w:r>
        <w:rPr>
          <w:sz w:val="36"/>
        </w:rPr>
        <w:t>Sigma (σ)</w:t>
      </w:r>
      <w:r>
        <w:rPr>
          <w:spacing w:val="-2"/>
          <w:sz w:val="36"/>
        </w:rPr>
        <w:t> </w:t>
      </w:r>
      <w:r>
        <w:rPr>
          <w:sz w:val="36"/>
        </w:rPr>
        <w:t>complexes</w:t>
      </w:r>
    </w:p>
    <w:p>
      <w:pPr>
        <w:pStyle w:val="ListParagraph"/>
        <w:numPr>
          <w:ilvl w:val="2"/>
          <w:numId w:val="2"/>
        </w:numPr>
        <w:tabs>
          <w:tab w:pos="3681" w:val="left" w:leader="none"/>
          <w:tab w:pos="3682" w:val="left" w:leader="none"/>
        </w:tabs>
        <w:spacing w:line="240" w:lineRule="auto" w:before="0" w:after="0"/>
        <w:ind w:left="3682" w:right="0" w:hanging="630"/>
        <w:jc w:val="left"/>
        <w:rPr>
          <w:sz w:val="36"/>
        </w:rPr>
      </w:pPr>
      <w:r>
        <w:rPr>
          <w:sz w:val="36"/>
        </w:rPr>
        <w:t>“Sandwich”</w:t>
      </w:r>
      <w:r>
        <w:rPr>
          <w:spacing w:val="-2"/>
          <w:sz w:val="36"/>
        </w:rPr>
        <w:t> </w:t>
      </w:r>
      <w:r>
        <w:rPr>
          <w:sz w:val="36"/>
        </w:rPr>
        <w:t>compounds</w:t>
      </w:r>
    </w:p>
    <w:p>
      <w:pPr>
        <w:pStyle w:val="Heading2"/>
        <w:numPr>
          <w:ilvl w:val="0"/>
          <w:numId w:val="2"/>
        </w:numPr>
        <w:tabs>
          <w:tab w:pos="2241" w:val="left" w:leader="none"/>
          <w:tab w:pos="2242" w:val="left" w:leader="none"/>
        </w:tabs>
        <w:spacing w:line="240" w:lineRule="auto" w:before="0" w:after="0"/>
        <w:ind w:left="2242" w:right="0" w:hanging="730"/>
        <w:jc w:val="left"/>
        <w:rPr>
          <w:i/>
          <w:u w:val="none"/>
        </w:rPr>
      </w:pPr>
      <w:r>
        <w:rPr>
          <w:i/>
          <w:color w:val="FF0000"/>
          <w:shd w:fill="BFBFBF" w:color="auto" w:val="clear"/>
          <w:u w:val="single" w:color="FF0000"/>
        </w:rPr>
        <w:t>Organic molecular</w:t>
      </w:r>
      <w:r>
        <w:rPr>
          <w:i/>
          <w:color w:val="FF0000"/>
          <w:spacing w:val="-3"/>
          <w:shd w:fill="BFBFBF" w:color="auto" w:val="clear"/>
          <w:u w:val="single" w:color="FF0000"/>
        </w:rPr>
        <w:t> </w:t>
      </w:r>
      <w:r>
        <w:rPr>
          <w:i/>
          <w:color w:val="FF0000"/>
          <w:shd w:fill="BFBFBF" w:color="auto" w:val="clear"/>
          <w:u w:val="single" w:color="FF0000"/>
        </w:rPr>
        <w:t>complexes</w:t>
      </w:r>
    </w:p>
    <w:p>
      <w:pPr>
        <w:pStyle w:val="ListParagraph"/>
        <w:numPr>
          <w:ilvl w:val="1"/>
          <w:numId w:val="2"/>
        </w:numPr>
        <w:tabs>
          <w:tab w:pos="2875" w:val="left" w:leader="none"/>
          <w:tab w:pos="2876" w:val="left" w:leader="none"/>
        </w:tabs>
        <w:spacing w:line="240" w:lineRule="auto" w:before="0" w:after="0"/>
        <w:ind w:left="2876" w:right="0" w:hanging="710"/>
        <w:jc w:val="left"/>
        <w:rPr>
          <w:sz w:val="36"/>
        </w:rPr>
      </w:pPr>
      <w:r>
        <w:rPr>
          <w:sz w:val="36"/>
        </w:rPr>
        <w:t>Quinhydrone</w:t>
      </w:r>
      <w:r>
        <w:rPr>
          <w:spacing w:val="-1"/>
          <w:sz w:val="36"/>
        </w:rPr>
        <w:t> </w:t>
      </w:r>
      <w:r>
        <w:rPr>
          <w:sz w:val="36"/>
        </w:rPr>
        <w:t>type</w:t>
      </w:r>
    </w:p>
    <w:p>
      <w:pPr>
        <w:pStyle w:val="ListParagraph"/>
        <w:numPr>
          <w:ilvl w:val="1"/>
          <w:numId w:val="2"/>
        </w:numPr>
        <w:tabs>
          <w:tab w:pos="2875" w:val="left" w:leader="none"/>
          <w:tab w:pos="2876" w:val="left" w:leader="none"/>
        </w:tabs>
        <w:spacing w:line="240" w:lineRule="auto" w:before="0" w:after="0"/>
        <w:ind w:left="2876" w:right="0" w:hanging="690"/>
        <w:jc w:val="left"/>
        <w:rPr>
          <w:sz w:val="36"/>
        </w:rPr>
      </w:pPr>
      <w:r>
        <w:rPr>
          <w:sz w:val="36"/>
        </w:rPr>
        <w:t>Picric acid</w:t>
      </w:r>
      <w:r>
        <w:rPr>
          <w:spacing w:val="-3"/>
          <w:sz w:val="36"/>
        </w:rPr>
        <w:t> </w:t>
      </w:r>
      <w:r>
        <w:rPr>
          <w:sz w:val="36"/>
        </w:rPr>
        <w:t>type</w:t>
      </w:r>
    </w:p>
    <w:p>
      <w:pPr>
        <w:pStyle w:val="ListParagraph"/>
        <w:numPr>
          <w:ilvl w:val="1"/>
          <w:numId w:val="2"/>
        </w:numPr>
        <w:tabs>
          <w:tab w:pos="2875" w:val="left" w:leader="none"/>
          <w:tab w:pos="2876" w:val="left" w:leader="none"/>
        </w:tabs>
        <w:spacing w:line="240" w:lineRule="auto" w:before="1" w:after="0"/>
        <w:ind w:left="2876" w:right="0" w:hanging="690"/>
        <w:jc w:val="left"/>
        <w:rPr>
          <w:sz w:val="36"/>
        </w:rPr>
      </w:pPr>
      <w:r>
        <w:rPr>
          <w:sz w:val="36"/>
        </w:rPr>
        <w:t>Caffeine and other drug</w:t>
      </w:r>
      <w:r>
        <w:rPr>
          <w:spacing w:val="-4"/>
          <w:sz w:val="36"/>
        </w:rPr>
        <w:t> </w:t>
      </w:r>
      <w:r>
        <w:rPr>
          <w:sz w:val="36"/>
        </w:rPr>
        <w:t>complexes</w:t>
      </w:r>
    </w:p>
    <w:p>
      <w:pPr>
        <w:pStyle w:val="ListParagraph"/>
        <w:numPr>
          <w:ilvl w:val="1"/>
          <w:numId w:val="2"/>
        </w:numPr>
        <w:tabs>
          <w:tab w:pos="2875" w:val="left" w:leader="none"/>
          <w:tab w:pos="2876" w:val="left" w:leader="none"/>
        </w:tabs>
        <w:spacing w:line="240" w:lineRule="auto" w:before="0" w:after="0"/>
        <w:ind w:left="2876" w:right="0" w:hanging="710"/>
        <w:jc w:val="left"/>
        <w:rPr>
          <w:sz w:val="36"/>
        </w:rPr>
      </w:pPr>
      <w:r>
        <w:rPr>
          <w:sz w:val="36"/>
        </w:rPr>
        <w:t>Polymer</w:t>
      </w:r>
      <w:r>
        <w:rPr>
          <w:spacing w:val="-2"/>
          <w:sz w:val="36"/>
        </w:rPr>
        <w:t> </w:t>
      </w:r>
      <w:r>
        <w:rPr>
          <w:sz w:val="36"/>
        </w:rPr>
        <w:t>type</w:t>
      </w:r>
    </w:p>
    <w:p>
      <w:pPr>
        <w:pStyle w:val="Heading2"/>
        <w:numPr>
          <w:ilvl w:val="0"/>
          <w:numId w:val="2"/>
        </w:numPr>
        <w:tabs>
          <w:tab w:pos="2241" w:val="left" w:leader="none"/>
          <w:tab w:pos="2242" w:val="left" w:leader="none"/>
        </w:tabs>
        <w:spacing w:line="240" w:lineRule="auto" w:before="0" w:after="0"/>
        <w:ind w:left="2242" w:right="0" w:hanging="870"/>
        <w:jc w:val="left"/>
        <w:rPr>
          <w:i/>
          <w:u w:val="none"/>
        </w:rPr>
      </w:pPr>
      <w:r>
        <w:rPr>
          <w:i/>
          <w:color w:val="FF0000"/>
          <w:shd w:fill="BFBFBF" w:color="auto" w:val="clear"/>
          <w:u w:val="single" w:color="FF0000"/>
        </w:rPr>
        <w:t>Inclusion/occlusion compounds</w:t>
      </w:r>
    </w:p>
    <w:p>
      <w:pPr>
        <w:spacing w:after="0" w:line="240" w:lineRule="auto"/>
        <w:jc w:val="left"/>
        <w:sectPr>
          <w:footerReference w:type="default" r:id="rId5"/>
          <w:type w:val="continuous"/>
          <w:pgSz w:w="11900" w:h="16840"/>
          <w:pgMar w:footer="999" w:top="1380" w:bottom="1180" w:left="280" w:right="220"/>
          <w:pgNumType w:start="1"/>
        </w:sectPr>
      </w:pPr>
    </w:p>
    <w:p>
      <w:pPr>
        <w:pStyle w:val="ListParagraph"/>
        <w:numPr>
          <w:ilvl w:val="1"/>
          <w:numId w:val="2"/>
        </w:numPr>
        <w:tabs>
          <w:tab w:pos="2875" w:val="left" w:leader="none"/>
          <w:tab w:pos="2876" w:val="left" w:leader="none"/>
        </w:tabs>
        <w:spacing w:line="240" w:lineRule="auto" w:before="60" w:after="0"/>
        <w:ind w:left="2876" w:right="0" w:hanging="710"/>
        <w:jc w:val="left"/>
        <w:rPr>
          <w:sz w:val="36"/>
        </w:rPr>
      </w:pPr>
      <w:r>
        <w:rPr>
          <w:sz w:val="36"/>
        </w:rPr>
        <w:t>Channel lattice</w:t>
      </w:r>
      <w:r>
        <w:rPr>
          <w:spacing w:val="-3"/>
          <w:sz w:val="36"/>
        </w:rPr>
        <w:t> </w:t>
      </w:r>
      <w:r>
        <w:rPr>
          <w:sz w:val="36"/>
        </w:rPr>
        <w:t>type</w:t>
      </w:r>
    </w:p>
    <w:p>
      <w:pPr>
        <w:pStyle w:val="ListParagraph"/>
        <w:numPr>
          <w:ilvl w:val="1"/>
          <w:numId w:val="2"/>
        </w:numPr>
        <w:tabs>
          <w:tab w:pos="2875" w:val="left" w:leader="none"/>
          <w:tab w:pos="2876" w:val="left" w:leader="none"/>
        </w:tabs>
        <w:spacing w:line="240" w:lineRule="auto" w:before="0" w:after="0"/>
        <w:ind w:left="2876" w:right="0" w:hanging="690"/>
        <w:jc w:val="left"/>
        <w:rPr>
          <w:sz w:val="36"/>
        </w:rPr>
      </w:pPr>
      <w:r>
        <w:rPr>
          <w:sz w:val="36"/>
        </w:rPr>
        <w:t>Layer</w:t>
      </w:r>
      <w:r>
        <w:rPr>
          <w:spacing w:val="-4"/>
          <w:sz w:val="36"/>
        </w:rPr>
        <w:t> </w:t>
      </w:r>
      <w:r>
        <w:rPr>
          <w:sz w:val="36"/>
        </w:rPr>
        <w:t>type</w:t>
      </w:r>
    </w:p>
    <w:p>
      <w:pPr>
        <w:pStyle w:val="ListParagraph"/>
        <w:numPr>
          <w:ilvl w:val="1"/>
          <w:numId w:val="2"/>
        </w:numPr>
        <w:tabs>
          <w:tab w:pos="2875" w:val="left" w:leader="none"/>
          <w:tab w:pos="2876" w:val="left" w:leader="none"/>
        </w:tabs>
        <w:spacing w:line="240" w:lineRule="auto" w:before="0" w:after="0"/>
        <w:ind w:left="2876" w:right="0" w:hanging="690"/>
        <w:jc w:val="left"/>
        <w:rPr>
          <w:sz w:val="36"/>
        </w:rPr>
      </w:pPr>
      <w:r>
        <w:rPr>
          <w:sz w:val="36"/>
        </w:rPr>
        <w:t>Clathrates</w:t>
      </w:r>
    </w:p>
    <w:p>
      <w:pPr>
        <w:pStyle w:val="ListParagraph"/>
        <w:numPr>
          <w:ilvl w:val="1"/>
          <w:numId w:val="2"/>
        </w:numPr>
        <w:tabs>
          <w:tab w:pos="2875" w:val="left" w:leader="none"/>
          <w:tab w:pos="2876" w:val="left" w:leader="none"/>
        </w:tabs>
        <w:spacing w:line="240" w:lineRule="auto" w:before="0" w:after="0"/>
        <w:ind w:left="2876" w:right="0" w:hanging="710"/>
        <w:jc w:val="left"/>
        <w:rPr>
          <w:sz w:val="36"/>
        </w:rPr>
      </w:pPr>
      <w:r>
        <w:rPr>
          <w:sz w:val="36"/>
        </w:rPr>
        <w:t>Monomolecular type</w:t>
      </w:r>
    </w:p>
    <w:p>
      <w:pPr>
        <w:pStyle w:val="ListParagraph"/>
        <w:numPr>
          <w:ilvl w:val="1"/>
          <w:numId w:val="2"/>
        </w:numPr>
        <w:tabs>
          <w:tab w:pos="2965" w:val="left" w:leader="none"/>
          <w:tab w:pos="2966" w:val="left" w:leader="none"/>
        </w:tabs>
        <w:spacing w:line="240" w:lineRule="auto" w:before="0" w:after="0"/>
        <w:ind w:left="2966" w:right="0" w:hanging="760"/>
        <w:jc w:val="left"/>
        <w:rPr>
          <w:sz w:val="36"/>
        </w:rPr>
      </w:pPr>
      <w:r>
        <w:rPr>
          <w:sz w:val="36"/>
        </w:rPr>
        <w:t>Macromolecular</w:t>
      </w:r>
      <w:r>
        <w:rPr>
          <w:spacing w:val="-1"/>
          <w:sz w:val="36"/>
        </w:rPr>
        <w:t> </w:t>
      </w:r>
      <w:r>
        <w:rPr>
          <w:sz w:val="36"/>
        </w:rPr>
        <w:t>type</w:t>
      </w:r>
    </w:p>
    <w:p>
      <w:pPr>
        <w:pStyle w:val="BodyText"/>
        <w:ind w:left="0"/>
        <w:rPr>
          <w:sz w:val="20"/>
        </w:rPr>
      </w:pPr>
    </w:p>
    <w:p>
      <w:pPr>
        <w:pStyle w:val="BodyText"/>
        <w:ind w:left="0"/>
        <w:rPr>
          <w:sz w:val="20"/>
        </w:rPr>
      </w:pPr>
    </w:p>
    <w:p>
      <w:pPr>
        <w:pStyle w:val="Heading2"/>
        <w:spacing w:before="216"/>
        <w:rPr>
          <w:i/>
          <w:u w:val="none"/>
        </w:rPr>
      </w:pPr>
      <w:r>
        <w:rPr>
          <w:i/>
          <w:color w:val="FF0000"/>
          <w:shd w:fill="FFFF00" w:color="auto" w:val="clear"/>
          <w:u w:val="single" w:color="FF0000"/>
        </w:rPr>
        <w:t>Inorganic Complexes</w:t>
      </w:r>
    </w:p>
    <w:p>
      <w:pPr>
        <w:pStyle w:val="BodyText"/>
        <w:ind w:left="530" w:right="847" w:firstLine="992"/>
      </w:pPr>
      <w:r>
        <w:rPr/>
        <w:pict>
          <v:line style="position:absolute;mso-position-horizontal-relative:page;mso-position-vertical-relative:paragraph;z-index:-251942912" from="98.5pt,80.404701pt" to="103pt,80.404701pt" stroked="true" strokeweight="1pt" strokecolor="#333333">
            <v:stroke dashstyle="solid"/>
            <w10:wrap type="none"/>
          </v:line>
        </w:pict>
      </w:r>
      <w:r>
        <w:rPr/>
        <w:pict>
          <v:shape style="position:absolute;margin-left:261.399994pt;margin-top:29.937122pt;width:5.2pt;height:11.55pt;mso-position-horizontal-relative:page;mso-position-vertical-relative:paragraph;z-index:-251940864" type="#_x0000_t202" filled="false" stroked="false">
            <v:textbox inset="0,0,0,0">
              <w:txbxContent>
                <w:p>
                  <w:pPr>
                    <w:spacing w:line="230" w:lineRule="exact" w:before="0"/>
                    <w:ind w:left="0" w:right="0" w:firstLine="0"/>
                    <w:jc w:val="left"/>
                    <w:rPr>
                      <w:sz w:val="21"/>
                    </w:rPr>
                  </w:pPr>
                  <w:r>
                    <w:rPr>
                      <w:color w:val="333333"/>
                      <w:w w:val="99"/>
                      <w:sz w:val="21"/>
                    </w:rPr>
                    <w:t>3</w:t>
                  </w:r>
                </w:p>
              </w:txbxContent>
            </v:textbox>
            <w10:wrap type="none"/>
          </v:shape>
        </w:pict>
      </w:r>
      <w:r>
        <w:rPr>
          <w:color w:val="333333"/>
        </w:rPr>
        <w:t>The ammonia molecules in hexamminecobalt (III) chloride, as the compound [Co(NH</w:t>
      </w:r>
      <w:r>
        <w:rPr>
          <w:color w:val="333333"/>
          <w:position w:val="-2"/>
          <w:sz w:val="21"/>
        </w:rPr>
        <w:t>3</w:t>
      </w:r>
      <w:r>
        <w:rPr>
          <w:color w:val="333333"/>
        </w:rPr>
        <w:t>)</w:t>
      </w:r>
      <w:r>
        <w:rPr>
          <w:color w:val="333333"/>
          <w:position w:val="-2"/>
          <w:sz w:val="21"/>
        </w:rPr>
        <w:t>6</w:t>
      </w:r>
      <w:r>
        <w:rPr>
          <w:color w:val="333333"/>
        </w:rPr>
        <w:t>]</w:t>
      </w:r>
      <w:r>
        <w:rPr>
          <w:color w:val="333333"/>
          <w:position w:val="14"/>
          <w:sz w:val="21"/>
        </w:rPr>
        <w:t>3+ </w:t>
      </w:r>
      <w:r>
        <w:rPr>
          <w:color w:val="333333"/>
        </w:rPr>
        <w:t>Cl </w:t>
      </w:r>
      <w:r>
        <w:rPr>
          <w:color w:val="333333"/>
          <w:position w:val="14"/>
          <w:sz w:val="21"/>
        </w:rPr>
        <w:t>- </w:t>
      </w:r>
      <w:r>
        <w:rPr>
          <w:color w:val="333333"/>
        </w:rPr>
        <w:t>is called, are known as the </w:t>
      </w:r>
      <w:r>
        <w:rPr>
          <w:i/>
          <w:color w:val="333333"/>
        </w:rPr>
        <w:t>ligands </w:t>
      </w:r>
      <w:r>
        <w:rPr>
          <w:color w:val="333333"/>
        </w:rPr>
        <w:t>and are said to be </w:t>
      </w:r>
      <w:r>
        <w:rPr>
          <w:i/>
          <w:color w:val="333333"/>
        </w:rPr>
        <w:t>coordinated </w:t>
      </w:r>
      <w:r>
        <w:rPr>
          <w:color w:val="333333"/>
        </w:rPr>
        <w:t>to the cobalt ion. The </w:t>
      </w:r>
      <w:r>
        <w:rPr>
          <w:b/>
          <w:i/>
          <w:color w:val="FF0000"/>
          <w:shd w:fill="BFBFBF" w:color="auto" w:val="clear"/>
          <w:u w:val="single" w:color="FF0000"/>
        </w:rPr>
        <w:t>coordination</w:t>
      </w:r>
      <w:r>
        <w:rPr>
          <w:b/>
          <w:i/>
          <w:color w:val="FF0000"/>
        </w:rPr>
        <w:t> </w:t>
      </w:r>
      <w:r>
        <w:rPr>
          <w:b/>
          <w:i/>
          <w:color w:val="FF0000"/>
          <w:shd w:fill="BFBFBF" w:color="auto" w:val="clear"/>
          <w:u w:val="single" w:color="FF0000"/>
        </w:rPr>
        <w:t>number</w:t>
      </w:r>
      <w:r>
        <w:rPr>
          <w:b/>
          <w:i/>
          <w:color w:val="FF0000"/>
        </w:rPr>
        <w:t> </w:t>
      </w:r>
      <w:r>
        <w:rPr>
          <w:color w:val="333333"/>
        </w:rPr>
        <w:t>of the cobalt ion, or number of ammonia groups coordinated to the metal ions, is six. Other complex ions belonging to the inorganic group include [Ag(NH</w:t>
      </w:r>
      <w:r>
        <w:rPr>
          <w:color w:val="333333"/>
          <w:position w:val="-2"/>
          <w:sz w:val="21"/>
        </w:rPr>
        <w:t>3</w:t>
      </w:r>
      <w:r>
        <w:rPr>
          <w:color w:val="333333"/>
        </w:rPr>
        <w:t>)</w:t>
      </w:r>
      <w:r>
        <w:rPr>
          <w:color w:val="333333"/>
          <w:position w:val="-2"/>
          <w:sz w:val="21"/>
        </w:rPr>
        <w:t>2</w:t>
      </w:r>
      <w:r>
        <w:rPr>
          <w:color w:val="333333"/>
        </w:rPr>
        <w:t>]</w:t>
      </w:r>
      <w:r>
        <w:rPr>
          <w:color w:val="333333"/>
          <w:position w:val="14"/>
          <w:sz w:val="21"/>
        </w:rPr>
        <w:t>+</w:t>
      </w:r>
      <w:r>
        <w:rPr>
          <w:color w:val="333333"/>
        </w:rPr>
        <w:t>, [Fe(CN)</w:t>
      </w:r>
      <w:r>
        <w:rPr>
          <w:color w:val="333333"/>
          <w:position w:val="-2"/>
          <w:sz w:val="21"/>
        </w:rPr>
        <w:t>6</w:t>
      </w:r>
      <w:r>
        <w:rPr>
          <w:color w:val="333333"/>
        </w:rPr>
        <w:t>]</w:t>
      </w:r>
      <w:r>
        <w:rPr>
          <w:color w:val="333333"/>
          <w:position w:val="14"/>
          <w:sz w:val="21"/>
        </w:rPr>
        <w:t>4-</w:t>
      </w:r>
      <w:r>
        <w:rPr>
          <w:color w:val="333333"/>
        </w:rPr>
        <w:t>, and [Cr(H</w:t>
      </w:r>
      <w:r>
        <w:rPr>
          <w:color w:val="333333"/>
          <w:position w:val="-2"/>
          <w:sz w:val="21"/>
        </w:rPr>
        <w:t>2</w:t>
      </w:r>
      <w:r>
        <w:rPr>
          <w:color w:val="333333"/>
        </w:rPr>
        <w:t>O)</w:t>
      </w:r>
      <w:r>
        <w:rPr>
          <w:color w:val="333333"/>
          <w:position w:val="-2"/>
          <w:sz w:val="21"/>
        </w:rPr>
        <w:t>6</w:t>
      </w:r>
      <w:r>
        <w:rPr>
          <w:color w:val="333333"/>
        </w:rPr>
        <w:t>]</w:t>
      </w:r>
      <w:r>
        <w:rPr>
          <w:color w:val="333333"/>
          <w:position w:val="14"/>
          <w:sz w:val="21"/>
        </w:rPr>
        <w:t>3+</w:t>
      </w:r>
      <w:r>
        <w:rPr>
          <w:color w:val="333333"/>
        </w:rPr>
        <w:t>.</w:t>
      </w:r>
    </w:p>
    <w:p>
      <w:pPr>
        <w:pStyle w:val="BodyText"/>
        <w:ind w:left="530" w:right="983"/>
        <w:jc w:val="both"/>
      </w:pPr>
      <w:r>
        <w:rPr>
          <w:color w:val="333333"/>
        </w:rPr>
        <w:t>Each ligand donates a pair of electrons to form a coordinate</w:t>
      </w:r>
      <w:r>
        <w:rPr>
          <w:color w:val="333333"/>
          <w:spacing w:val="-35"/>
        </w:rPr>
        <w:t> </w:t>
      </w:r>
      <w:r>
        <w:rPr>
          <w:color w:val="333333"/>
        </w:rPr>
        <w:t>covalent link between itself and the central ion having an incomplete electron shell. For</w:t>
      </w:r>
      <w:r>
        <w:rPr>
          <w:color w:val="333333"/>
          <w:spacing w:val="-3"/>
        </w:rPr>
        <w:t> </w:t>
      </w:r>
      <w:r>
        <w:rPr>
          <w:color w:val="333333"/>
        </w:rPr>
        <w:t>example,</w:t>
      </w:r>
    </w:p>
    <w:p>
      <w:pPr>
        <w:pStyle w:val="BodyText"/>
        <w:ind w:left="0"/>
        <w:rPr>
          <w:sz w:val="20"/>
        </w:rPr>
      </w:pPr>
    </w:p>
    <w:p>
      <w:pPr>
        <w:pStyle w:val="BodyText"/>
        <w:tabs>
          <w:tab w:pos="5247" w:val="left" w:leader="none"/>
          <w:tab w:pos="5939" w:val="left" w:leader="none"/>
          <w:tab w:pos="6869" w:val="left" w:leader="none"/>
        </w:tabs>
        <w:spacing w:before="228"/>
        <w:ind w:right="1636" w:firstLine="1134"/>
      </w:pPr>
      <w:r>
        <w:rPr/>
        <w:pict>
          <v:group style="position:absolute;margin-left:171.699997pt;margin-top:-11.395312pt;width:249pt;height:39.5pt;mso-position-horizontal-relative:page;mso-position-vertical-relative:paragraph;z-index:-251941888" coordorigin="3434,-228" coordsize="4980,790">
            <v:shape style="position:absolute;left:3434;top:-228;width:4980;height:444" type="#_x0000_t75" stroked="false">
              <v:imagedata r:id="rId6" o:title=""/>
            </v:shape>
            <v:shape style="position:absolute;left:5268;top:238;width:254;height:324" type="#_x0000_t75" stroked="false">
              <v:imagedata r:id="rId7" o:title=""/>
            </v:shape>
            <v:shape style="position:absolute;left:5946;top:220;width:270;height:342" type="#_x0000_t75" stroked="false">
              <v:imagedata r:id="rId7" o:title=""/>
            </v:shape>
            <v:shape style="position:absolute;left:6858;top:254;width:286;height:308" type="#_x0000_t75" stroked="false">
              <v:imagedata r:id="rId8" o:title=""/>
            </v:shape>
            <w10:wrap type="none"/>
          </v:group>
        </w:pict>
      </w:r>
      <w:r>
        <w:rPr/>
        <w:t>Ligands such as</w:t>
      </w:r>
      <w:r>
        <w:rPr>
          <w:spacing w:val="-6"/>
        </w:rPr>
        <w:t> </w:t>
      </w:r>
      <w:r>
        <w:rPr/>
        <w:t>H</w:t>
      </w:r>
      <w:r>
        <w:rPr>
          <w:position w:val="-2"/>
          <w:sz w:val="21"/>
        </w:rPr>
        <w:t>2</w:t>
      </w:r>
      <w:r>
        <w:rPr/>
        <w:t>Ö</w:t>
      </w:r>
      <w:r>
        <w:rPr>
          <w:spacing w:val="-2"/>
        </w:rPr>
        <w:t> </w:t>
      </w:r>
      <w:r>
        <w:rPr/>
        <w:t>H</w:t>
      </w:r>
      <w:r>
        <w:rPr>
          <w:position w:val="-2"/>
          <w:sz w:val="21"/>
        </w:rPr>
        <w:t>3</w:t>
        <w:tab/>
      </w:r>
      <w:r>
        <w:rPr/>
        <w:t>, C</w:t>
        <w:tab/>
      </w:r>
      <w:r>
        <w:rPr>
          <w:position w:val="14"/>
          <w:sz w:val="21"/>
        </w:rPr>
        <w:t>-</w:t>
      </w:r>
      <w:r>
        <w:rPr/>
        <w:t>, or</w:t>
        <w:tab/>
        <w:t>l</w:t>
      </w:r>
      <w:r>
        <w:rPr>
          <w:position w:val="14"/>
          <w:sz w:val="21"/>
        </w:rPr>
        <w:t>- </w:t>
      </w:r>
      <w:r>
        <w:rPr/>
        <w:t>donate a pair of electrons in forming a complex with a metal ion, and the</w:t>
      </w:r>
      <w:r>
        <w:rPr>
          <w:spacing w:val="-48"/>
        </w:rPr>
        <w:t> </w:t>
      </w:r>
      <w:r>
        <w:rPr/>
        <w:t>electron pair enters one of the unfilled orbitals on the metal</w:t>
      </w:r>
      <w:r>
        <w:rPr>
          <w:spacing w:val="-12"/>
        </w:rPr>
        <w:t> </w:t>
      </w:r>
      <w:r>
        <w:rPr/>
        <w:t>ion.</w:t>
      </w:r>
    </w:p>
    <w:p>
      <w:pPr>
        <w:pStyle w:val="BodyText"/>
        <w:ind w:left="0"/>
      </w:pPr>
    </w:p>
    <w:p>
      <w:pPr>
        <w:pStyle w:val="BodyText"/>
        <w:spacing w:line="276" w:lineRule="auto"/>
        <w:ind w:left="530" w:right="847" w:firstLine="992"/>
      </w:pPr>
      <w:r>
        <w:rPr>
          <w:color w:val="333333"/>
        </w:rPr>
        <w:t>Hybridization plays an important part in coordination compounds in which sufficient bonding orbitals are not ordinarily available in the metal ion.</w:t>
      </w:r>
    </w:p>
    <w:p>
      <w:pPr>
        <w:pStyle w:val="BodyText"/>
        <w:spacing w:before="200"/>
        <w:ind w:right="1169" w:firstLine="1134"/>
      </w:pPr>
      <w:r>
        <w:rPr>
          <w:color w:val="333333"/>
        </w:rPr>
        <w:t>Table 10-2shows some compounds in which the central atom or metal ion is hybridized differently and the geometry that results.</w:t>
      </w:r>
    </w:p>
    <w:p>
      <w:pPr>
        <w:pStyle w:val="BodyText"/>
        <w:ind w:left="0"/>
        <w:rPr>
          <w:sz w:val="40"/>
        </w:rPr>
      </w:pPr>
    </w:p>
    <w:p>
      <w:pPr>
        <w:pStyle w:val="BodyText"/>
        <w:ind w:left="0"/>
        <w:rPr>
          <w:sz w:val="40"/>
        </w:rPr>
      </w:pPr>
    </w:p>
    <w:p>
      <w:pPr>
        <w:pStyle w:val="BodyText"/>
        <w:ind w:left="0"/>
        <w:rPr>
          <w:sz w:val="40"/>
        </w:rPr>
      </w:pPr>
    </w:p>
    <w:p>
      <w:pPr>
        <w:pStyle w:val="Heading1"/>
        <w:spacing w:before="276"/>
        <w:ind w:right="1615"/>
      </w:pPr>
      <w:r>
        <w:rPr/>
        <w:t>Table 10-2 Bond Types of Representative Compounds</w:t>
      </w:r>
    </w:p>
    <w:p>
      <w:pPr>
        <w:spacing w:after="0"/>
        <w:sectPr>
          <w:pgSz w:w="11900" w:h="16840"/>
          <w:pgMar w:header="0" w:footer="999" w:top="1380" w:bottom="1180" w:left="280" w:right="220"/>
        </w:sectPr>
      </w:pPr>
    </w:p>
    <w:p>
      <w:pPr>
        <w:pStyle w:val="BodyText"/>
        <w:ind w:left="1520"/>
        <w:rPr>
          <w:sz w:val="20"/>
        </w:rPr>
      </w:pPr>
      <w:r>
        <w:rPr>
          <w:sz w:val="20"/>
        </w:rPr>
        <w:drawing>
          <wp:inline distT="0" distB="0" distL="0" distR="0">
            <wp:extent cx="5271021" cy="5554122"/>
            <wp:effectExtent l="0" t="0" r="0" b="0"/>
            <wp:docPr id="1" name="image4.jpeg"/>
            <wp:cNvGraphicFramePr>
              <a:graphicFrameLocks noChangeAspect="1"/>
            </wp:cNvGraphicFramePr>
            <a:graphic>
              <a:graphicData uri="http://schemas.openxmlformats.org/drawingml/2006/picture">
                <pic:pic>
                  <pic:nvPicPr>
                    <pic:cNvPr id="2" name="image4.jpeg"/>
                    <pic:cNvPicPr/>
                  </pic:nvPicPr>
                  <pic:blipFill>
                    <a:blip r:embed="rId9" cstate="print"/>
                    <a:stretch>
                      <a:fillRect/>
                    </a:stretch>
                  </pic:blipFill>
                  <pic:spPr>
                    <a:xfrm>
                      <a:off x="0" y="0"/>
                      <a:ext cx="5271021" cy="5554122"/>
                    </a:xfrm>
                    <a:prstGeom prst="rect">
                      <a:avLst/>
                    </a:prstGeom>
                  </pic:spPr>
                </pic:pic>
              </a:graphicData>
            </a:graphic>
          </wp:inline>
        </w:drawing>
      </w:r>
      <w:r>
        <w:rPr>
          <w:sz w:val="20"/>
        </w:rPr>
      </w:r>
    </w:p>
    <w:p>
      <w:pPr>
        <w:pStyle w:val="BodyText"/>
        <w:ind w:left="0"/>
        <w:rPr>
          <w:b/>
          <w:sz w:val="20"/>
        </w:rPr>
      </w:pPr>
    </w:p>
    <w:p>
      <w:pPr>
        <w:pStyle w:val="BodyText"/>
        <w:spacing w:before="10"/>
        <w:ind w:left="0"/>
        <w:rPr>
          <w:b/>
          <w:sz w:val="29"/>
        </w:rPr>
      </w:pPr>
    </w:p>
    <w:p>
      <w:pPr>
        <w:pStyle w:val="Heading2"/>
        <w:spacing w:before="85"/>
        <w:rPr>
          <w:i/>
          <w:u w:val="none"/>
        </w:rPr>
      </w:pPr>
      <w:r>
        <w:rPr>
          <w:i/>
          <w:color w:val="FF0000"/>
          <w:shd w:fill="FFFF00" w:color="auto" w:val="clear"/>
          <w:u w:val="single" w:color="FF0000"/>
        </w:rPr>
        <w:t>Chelates</w:t>
      </w:r>
    </w:p>
    <w:p>
      <w:pPr>
        <w:pStyle w:val="BodyText"/>
        <w:ind w:left="386"/>
        <w:rPr>
          <w:sz w:val="20"/>
        </w:rPr>
      </w:pPr>
      <w:r>
        <w:rPr>
          <w:sz w:val="20"/>
        </w:rPr>
        <w:pict>
          <v:shape style="width:510.3pt;height:186.3pt;mso-position-horizontal-relative:char;mso-position-vertical-relative:line" type="#_x0000_t202" filled="true" fillcolor="#e9e9e9" stroked="false">
            <w10:anchorlock/>
            <v:textbox inset="0,0,0,0">
              <w:txbxContent>
                <w:p>
                  <w:pPr>
                    <w:pStyle w:val="BodyText"/>
                    <w:ind w:left="2" w:right="977" w:firstLine="1134"/>
                    <w:rPr>
                      <w:b/>
                    </w:rPr>
                  </w:pPr>
                  <w:r>
                    <w:rPr/>
                    <w:t>A substance containing two or more donor groups may combine with a metal to form a special type of complex known as a </w:t>
                  </w:r>
                  <w:r>
                    <w:rPr>
                      <w:i/>
                    </w:rPr>
                    <w:t>chelate </w:t>
                  </w:r>
                  <w:r>
                    <w:rPr/>
                    <w:t>.Some of the bonds in a chelate may be ionic or of the primary covalent type, whereas others are coordinate covalent links. When the ligand provides one group for attachment to the central ion, the chelate is called </w:t>
                  </w:r>
                  <w:r>
                    <w:rPr>
                      <w:b/>
                      <w:i/>
                    </w:rPr>
                    <w:t>monodentate</w:t>
                  </w:r>
                  <w:r>
                    <w:rPr>
                      <w:b/>
                    </w:rPr>
                    <w:t>.</w:t>
                  </w:r>
                </w:p>
                <w:p>
                  <w:pPr>
                    <w:spacing w:before="0"/>
                    <w:ind w:left="2" w:right="1422" w:firstLine="1134"/>
                    <w:jc w:val="left"/>
                    <w:rPr>
                      <w:sz w:val="36"/>
                    </w:rPr>
                  </w:pPr>
                  <w:r>
                    <w:rPr>
                      <w:sz w:val="36"/>
                    </w:rPr>
                    <w:t>Molecules with two and three donor groups are called </w:t>
                  </w:r>
                  <w:r>
                    <w:rPr>
                      <w:i/>
                      <w:sz w:val="36"/>
                    </w:rPr>
                    <w:t>bidentate </w:t>
                  </w:r>
                  <w:r>
                    <w:rPr>
                      <w:sz w:val="36"/>
                    </w:rPr>
                    <w:t>and </w:t>
                  </w:r>
                  <w:r>
                    <w:rPr>
                      <w:i/>
                      <w:sz w:val="36"/>
                    </w:rPr>
                    <w:t>tridentate</w:t>
                  </w:r>
                  <w:r>
                    <w:rPr>
                      <w:sz w:val="36"/>
                    </w:rPr>
                    <w:t>, respectively.</w:t>
                  </w:r>
                </w:p>
                <w:p>
                  <w:pPr>
                    <w:pStyle w:val="BodyText"/>
                    <w:ind w:left="2"/>
                  </w:pPr>
                  <w:r>
                    <w:rPr>
                      <w:color w:val="FF0000"/>
                      <w:u w:val="single" w:color="FF0000"/>
                    </w:rPr>
                    <w:t>Ethylenediaminetetraacetic acid</w:t>
                  </w:r>
                  <w:r>
                    <w:rPr>
                      <w:color w:val="FF0000"/>
                    </w:rPr>
                    <w:t> </w:t>
                  </w:r>
                  <w:r>
                    <w:rPr/>
                    <w:t>has six points for attachment to the</w:t>
                  </w:r>
                </w:p>
              </w:txbxContent>
            </v:textbox>
            <v:fill type="solid"/>
          </v:shape>
        </w:pict>
      </w:r>
      <w:r>
        <w:rPr>
          <w:sz w:val="20"/>
        </w:rPr>
      </w:r>
    </w:p>
    <w:p>
      <w:pPr>
        <w:spacing w:after="0"/>
        <w:rPr>
          <w:sz w:val="20"/>
        </w:rPr>
        <w:sectPr>
          <w:pgSz w:w="11900" w:h="16840"/>
          <w:pgMar w:header="0" w:footer="999" w:top="1440" w:bottom="1180" w:left="280" w:right="220"/>
        </w:sectPr>
      </w:pPr>
    </w:p>
    <w:p>
      <w:pPr>
        <w:pStyle w:val="BodyText"/>
        <w:ind w:left="386"/>
        <w:rPr>
          <w:sz w:val="20"/>
        </w:rPr>
      </w:pPr>
      <w:r>
        <w:rPr>
          <w:sz w:val="20"/>
        </w:rPr>
        <w:pict>
          <v:shape style="width:510.3pt;height:41.4pt;mso-position-horizontal-relative:char;mso-position-vertical-relative:line" type="#_x0000_t202" filled="true" fillcolor="#e9e9e9" stroked="false">
            <w10:anchorlock/>
            <v:textbox inset="0,0,0,0">
              <w:txbxContent>
                <w:p>
                  <w:pPr>
                    <w:pStyle w:val="BodyText"/>
                    <w:ind w:left="2" w:right="977"/>
                  </w:pPr>
                  <w:r>
                    <w:rPr/>
                    <w:t>metal ion and is accordingly </w:t>
                  </w:r>
                  <w:r>
                    <w:rPr>
                      <w:i/>
                    </w:rPr>
                    <w:t>hexadentate</w:t>
                  </w:r>
                  <w:r>
                    <w:rPr/>
                    <w:t>; however, in some complexes, only four or five of the groups are coordinated.</w:t>
                  </w:r>
                </w:p>
              </w:txbxContent>
            </v:textbox>
            <v:fill type="solid"/>
          </v:shape>
        </w:pict>
      </w:r>
      <w:r>
        <w:rPr>
          <w:sz w:val="20"/>
        </w:rPr>
      </w:r>
    </w:p>
    <w:p>
      <w:pPr>
        <w:pStyle w:val="BodyText"/>
        <w:spacing w:before="10"/>
        <w:ind w:left="0"/>
        <w:rPr>
          <w:b/>
          <w:i/>
          <w:sz w:val="10"/>
        </w:rPr>
      </w:pPr>
    </w:p>
    <w:p>
      <w:pPr>
        <w:pStyle w:val="BodyText"/>
        <w:ind w:left="392"/>
        <w:rPr>
          <w:sz w:val="20"/>
        </w:rPr>
      </w:pPr>
      <w:r>
        <w:rPr>
          <w:sz w:val="20"/>
        </w:rPr>
        <w:drawing>
          <wp:inline distT="0" distB="0" distL="0" distR="0">
            <wp:extent cx="1850945" cy="2309241"/>
            <wp:effectExtent l="0" t="0" r="0" b="0"/>
            <wp:docPr id="3" name="image5.jpeg"/>
            <wp:cNvGraphicFramePr>
              <a:graphicFrameLocks noChangeAspect="1"/>
            </wp:cNvGraphicFramePr>
            <a:graphic>
              <a:graphicData uri="http://schemas.openxmlformats.org/drawingml/2006/picture">
                <pic:pic>
                  <pic:nvPicPr>
                    <pic:cNvPr id="4" name="image5.jpeg"/>
                    <pic:cNvPicPr/>
                  </pic:nvPicPr>
                  <pic:blipFill>
                    <a:blip r:embed="rId10" cstate="print"/>
                    <a:stretch>
                      <a:fillRect/>
                    </a:stretch>
                  </pic:blipFill>
                  <pic:spPr>
                    <a:xfrm>
                      <a:off x="0" y="0"/>
                      <a:ext cx="1850945" cy="2309241"/>
                    </a:xfrm>
                    <a:prstGeom prst="rect">
                      <a:avLst/>
                    </a:prstGeom>
                  </pic:spPr>
                </pic:pic>
              </a:graphicData>
            </a:graphic>
          </wp:inline>
        </w:drawing>
      </w:r>
      <w:r>
        <w:rPr>
          <w:sz w:val="20"/>
        </w:rPr>
      </w:r>
    </w:p>
    <w:p>
      <w:pPr>
        <w:spacing w:line="322" w:lineRule="exact" w:before="43"/>
        <w:ind w:left="1464" w:right="1611" w:firstLine="0"/>
        <w:jc w:val="center"/>
        <w:rPr>
          <w:sz w:val="28"/>
        </w:rPr>
      </w:pPr>
      <w:r>
        <w:rPr>
          <w:b/>
          <w:sz w:val="28"/>
        </w:rPr>
        <w:t>Fig. 10-1. </w:t>
      </w:r>
      <w:r>
        <w:rPr>
          <w:sz w:val="28"/>
        </w:rPr>
        <w:t>Calcium ions sequestered by ethylendediaminetetraacetic acid.</w:t>
      </w:r>
    </w:p>
    <w:p>
      <w:pPr>
        <w:pStyle w:val="BodyText"/>
        <w:ind w:right="896" w:firstLine="720"/>
      </w:pPr>
      <w:r>
        <w:rPr>
          <w:color w:val="333333"/>
        </w:rPr>
        <w:t>The synthetic chelating agent ethylenediaminetetraacetic acid (Fig. 10-1) has been used to tie up or </w:t>
      </w:r>
      <w:r>
        <w:rPr>
          <w:i/>
          <w:color w:val="333333"/>
        </w:rPr>
        <w:t>sequester </w:t>
      </w:r>
      <w:r>
        <w:rPr>
          <w:color w:val="333333"/>
        </w:rPr>
        <w:t>iron and copper ions so that they cannot catalyze the oxidative degradation of ascorbic acid in fruit juices and in drug preparation.</w:t>
      </w:r>
    </w:p>
    <w:p>
      <w:pPr>
        <w:pStyle w:val="BodyText"/>
        <w:ind w:left="1096" w:right="847"/>
      </w:pPr>
      <w:r>
        <w:rPr>
          <w:color w:val="333333"/>
        </w:rPr>
        <w:t>Chelation places stringent steric requirements on both metal and ligands. Ions such as Cu(II) and Ni(II), which form square planar complexes, and Fe(III) and Co(III), which form octahedral complexes, can exist in either of two geometric forms. As a consequence of this isomerism, only </w:t>
      </w:r>
      <w:r>
        <w:rPr>
          <w:i/>
          <w:color w:val="333333"/>
        </w:rPr>
        <w:t>cis-coordinated ligands</w:t>
      </w:r>
      <w:r>
        <w:rPr>
          <w:color w:val="333333"/>
        </w:rPr>
        <w:t>— ligands adjacent on a molecule—will be readily replaced by reaction with a chelating agent.</w:t>
      </w:r>
    </w:p>
    <w:p>
      <w:pPr>
        <w:pStyle w:val="ListParagraph"/>
        <w:numPr>
          <w:ilvl w:val="0"/>
          <w:numId w:val="3"/>
        </w:numPr>
        <w:tabs>
          <w:tab w:pos="1521" w:val="left" w:leader="none"/>
          <w:tab w:pos="1522" w:val="left" w:leader="none"/>
        </w:tabs>
        <w:spacing w:line="415" w:lineRule="exact" w:before="0" w:after="0"/>
        <w:ind w:left="1522" w:right="0" w:hanging="786"/>
        <w:jc w:val="left"/>
        <w:rPr>
          <w:sz w:val="36"/>
        </w:rPr>
      </w:pPr>
      <w:r>
        <w:rPr>
          <w:color w:val="FF0000"/>
          <w:spacing w:val="-4"/>
          <w:sz w:val="36"/>
          <w:shd w:fill="BFBFBF" w:color="auto" w:val="clear"/>
          <w:u w:val="single" w:color="FF0000"/>
        </w:rPr>
        <w:t>Vitamin </w:t>
      </w:r>
      <w:r>
        <w:rPr>
          <w:color w:val="FF0000"/>
          <w:sz w:val="36"/>
          <w:shd w:fill="BFBFBF" w:color="auto" w:val="clear"/>
          <w:u w:val="single" w:color="FF0000"/>
        </w:rPr>
        <w:t>B</w:t>
      </w:r>
      <w:r>
        <w:rPr>
          <w:color w:val="FF0000"/>
          <w:position w:val="-2"/>
          <w:sz w:val="21"/>
          <w:shd w:fill="BFBFBF" w:color="auto" w:val="clear"/>
          <w:u w:val="single" w:color="FF0000"/>
        </w:rPr>
        <w:t>12</w:t>
      </w:r>
      <w:r>
        <w:rPr>
          <w:color w:val="FF0000"/>
          <w:position w:val="-2"/>
          <w:sz w:val="21"/>
        </w:rPr>
        <w:t> </w:t>
      </w:r>
      <w:r>
        <w:rPr>
          <w:color w:val="333333"/>
          <w:sz w:val="36"/>
        </w:rPr>
        <w:t>and the hemoproteins are incapable of</w:t>
      </w:r>
      <w:r>
        <w:rPr>
          <w:color w:val="333333"/>
          <w:spacing w:val="-22"/>
          <w:sz w:val="36"/>
        </w:rPr>
        <w:t> </w:t>
      </w:r>
      <w:r>
        <w:rPr>
          <w:color w:val="333333"/>
          <w:sz w:val="36"/>
        </w:rPr>
        <w:t>reacting</w:t>
      </w:r>
    </w:p>
    <w:p>
      <w:pPr>
        <w:pStyle w:val="BodyText"/>
        <w:spacing w:before="35"/>
        <w:ind w:left="1096" w:right="847"/>
      </w:pPr>
      <w:r>
        <w:rPr>
          <w:color w:val="333333"/>
        </w:rPr>
        <w:t>with chelating agents because their metal is already coordinated in such a way that only the </w:t>
      </w:r>
      <w:r>
        <w:rPr>
          <w:i/>
          <w:color w:val="333333"/>
        </w:rPr>
        <w:t>trans</w:t>
      </w:r>
      <w:r>
        <w:rPr>
          <w:color w:val="333333"/>
        </w:rPr>
        <w:t>coordination positions of the metal are available for complexation. In contrast, the metal ion in</w:t>
      </w:r>
    </w:p>
    <w:p>
      <w:pPr>
        <w:pStyle w:val="BodyText"/>
        <w:spacing w:before="9"/>
        <w:ind w:left="0"/>
        <w:rPr>
          <w:sz w:val="33"/>
        </w:rPr>
      </w:pPr>
    </w:p>
    <w:p>
      <w:pPr>
        <w:pStyle w:val="ListParagraph"/>
        <w:numPr>
          <w:ilvl w:val="0"/>
          <w:numId w:val="3"/>
        </w:numPr>
        <w:tabs>
          <w:tab w:pos="1521" w:val="left" w:leader="none"/>
          <w:tab w:pos="1522" w:val="left" w:leader="none"/>
        </w:tabs>
        <w:spacing w:line="244" w:lineRule="auto" w:before="0" w:after="0"/>
        <w:ind w:left="1096" w:right="986" w:hanging="360"/>
        <w:jc w:val="left"/>
        <w:rPr>
          <w:sz w:val="36"/>
        </w:rPr>
      </w:pPr>
      <w:r>
        <w:rPr/>
        <w:tab/>
      </w:r>
      <w:r>
        <w:rPr>
          <w:color w:val="FF0000"/>
          <w:sz w:val="36"/>
          <w:shd w:fill="BFBFBF" w:color="auto" w:val="clear"/>
          <w:u w:val="single" w:color="FF0000"/>
        </w:rPr>
        <w:t>certain enzymes</w:t>
      </w:r>
      <w:r>
        <w:rPr>
          <w:color w:val="333333"/>
          <w:sz w:val="36"/>
        </w:rPr>
        <w:t>, such as alcohol dehydrogenase, which contains zinc, can undergo chelation, suggesting that the metal</w:t>
      </w:r>
      <w:r>
        <w:rPr>
          <w:color w:val="333333"/>
          <w:spacing w:val="-57"/>
          <w:sz w:val="36"/>
        </w:rPr>
        <w:t> </w:t>
      </w:r>
      <w:r>
        <w:rPr>
          <w:color w:val="333333"/>
          <w:sz w:val="36"/>
        </w:rPr>
        <w:t>is bound in such a way as to leave two </w:t>
      </w:r>
      <w:r>
        <w:rPr>
          <w:i/>
          <w:color w:val="333333"/>
          <w:sz w:val="36"/>
        </w:rPr>
        <w:t>cis </w:t>
      </w:r>
      <w:r>
        <w:rPr>
          <w:color w:val="333333"/>
          <w:sz w:val="36"/>
        </w:rPr>
        <w:t>positions available for chelation.</w:t>
      </w:r>
    </w:p>
    <w:p>
      <w:pPr>
        <w:spacing w:after="0" w:line="244" w:lineRule="auto"/>
        <w:jc w:val="left"/>
        <w:rPr>
          <w:sz w:val="36"/>
        </w:rPr>
        <w:sectPr>
          <w:pgSz w:w="11900" w:h="16840"/>
          <w:pgMar w:header="0" w:footer="999" w:top="1440" w:bottom="1180" w:left="280" w:right="220"/>
        </w:sectPr>
      </w:pPr>
    </w:p>
    <w:p>
      <w:pPr>
        <w:pStyle w:val="Heading2"/>
        <w:rPr>
          <w:i/>
          <w:u w:val="none"/>
        </w:rPr>
      </w:pPr>
      <w:r>
        <w:rPr>
          <w:i/>
          <w:color w:val="FF0000"/>
          <w:shd w:fill="FFFF00" w:color="auto" w:val="clear"/>
          <w:u w:val="single" w:color="FF0000"/>
        </w:rPr>
        <w:t>Organic Molecular Complexes</w:t>
      </w:r>
    </w:p>
    <w:p>
      <w:pPr>
        <w:pStyle w:val="BodyText"/>
        <w:ind w:left="246" w:right="316" w:firstLine="1134"/>
      </w:pPr>
      <w:r>
        <w:rPr/>
        <w:pict>
          <v:group style="position:absolute;margin-left:26.200001pt;margin-top:41.404686pt;width:158.6pt;height:20.7pt;mso-position-horizontal-relative:page;mso-position-vertical-relative:paragraph;z-index:-251934720" coordorigin="524,828" coordsize="3172,414">
            <v:line style="position:absolute" from="524,1194" to="824,1194" stroked="true" strokeweight="1pt" strokecolor="#ff0000">
              <v:stroke dashstyle="solid"/>
            </v:line>
            <v:rect style="position:absolute;left:824;top:828;width:2690;height:414" filled="true" fillcolor="#00ffff" stroked="false">
              <v:fill type="solid"/>
            </v:rect>
            <v:rect style="position:absolute;left:824;top:1184;width:2690;height:20" filled="true" fillcolor="#ff0000" stroked="false">
              <v:fill type="solid"/>
            </v:rect>
            <v:line style="position:absolute" from="3559,828" to="3559,1242" stroked="true" strokeweight="4.5pt" strokecolor="#00ffff">
              <v:stroke dashstyle="solid"/>
            </v:line>
            <v:line style="position:absolute" from="3514,1194" to="3604,1194" stroked="true" strokeweight="1pt" strokecolor="#333333">
              <v:stroke dashstyle="solid"/>
            </v:line>
            <v:line style="position:absolute" from="3606,1194" to="3696,1194" stroked="true" strokeweight="1pt" strokecolor="#333333">
              <v:stroke dashstyle="solid"/>
            </v:line>
            <v:shape style="position:absolute;left:526;top:843;width:1720;height:399" type="#_x0000_t202" filled="false" stroked="false">
              <v:textbox inset="0,0,0,0">
                <w:txbxContent>
                  <w:p>
                    <w:pPr>
                      <w:spacing w:line="399" w:lineRule="exact" w:before="0"/>
                      <w:ind w:left="0" w:right="0" w:firstLine="0"/>
                      <w:jc w:val="left"/>
                      <w:rPr>
                        <w:b/>
                        <w:i/>
                        <w:sz w:val="36"/>
                      </w:rPr>
                    </w:pPr>
                    <w:r>
                      <w:rPr>
                        <w:b/>
                        <w:i/>
                        <w:color w:val="FF0000"/>
                        <w:sz w:val="36"/>
                      </w:rPr>
                      <w:t>1-hydrogen</w:t>
                    </w:r>
                  </w:p>
                </w:txbxContent>
              </v:textbox>
              <w10:wrap type="none"/>
            </v:shape>
            <v:shape style="position:absolute;left:2634;top:843;width:992;height:399" type="#_x0000_t202" filled="false" stroked="false">
              <v:textbox inset="0,0,0,0">
                <w:txbxContent>
                  <w:p>
                    <w:pPr>
                      <w:spacing w:line="399" w:lineRule="exact" w:before="0"/>
                      <w:ind w:left="0" w:right="0" w:firstLine="0"/>
                      <w:jc w:val="left"/>
                      <w:rPr>
                        <w:b/>
                        <w:i/>
                        <w:sz w:val="36"/>
                      </w:rPr>
                    </w:pPr>
                    <w:r>
                      <w:rPr>
                        <w:b/>
                        <w:i/>
                        <w:color w:val="FF0000"/>
                        <w:sz w:val="36"/>
                      </w:rPr>
                      <w:t>bonds</w:t>
                    </w:r>
                    <w:r>
                      <w:rPr>
                        <w:b/>
                        <w:i/>
                        <w:color w:val="333333"/>
                        <w:sz w:val="36"/>
                      </w:rPr>
                      <w:t>.</w:t>
                    </w:r>
                  </w:p>
                </w:txbxContent>
              </v:textbox>
              <w10:wrap type="none"/>
            </v:shape>
            <w10:wrap type="none"/>
          </v:group>
        </w:pict>
      </w:r>
      <w:r>
        <w:rPr>
          <w:color w:val="333333"/>
        </w:rPr>
        <w:t>An organic coordination compound or molecular complex consists of constituents held together by weak</w:t>
      </w:r>
      <w:r>
        <w:rPr>
          <w:color w:val="333333"/>
          <w:spacing w:val="-5"/>
        </w:rPr>
        <w:t> </w:t>
      </w:r>
      <w:r>
        <w:rPr>
          <w:color w:val="333333"/>
        </w:rPr>
        <w:t>forces</w:t>
      </w:r>
    </w:p>
    <w:p>
      <w:pPr>
        <w:pStyle w:val="BodyText"/>
        <w:tabs>
          <w:tab w:pos="4384" w:val="left" w:leader="none"/>
          <w:tab w:pos="6450" w:val="left" w:leader="none"/>
          <w:tab w:pos="8138" w:val="left" w:leader="none"/>
          <w:tab w:pos="9525" w:val="left" w:leader="none"/>
          <w:tab w:pos="10451" w:val="left" w:leader="none"/>
        </w:tabs>
        <w:ind w:left="246" w:right="106" w:firstLine="3170"/>
      </w:pPr>
      <w:r>
        <w:rPr>
          <w:color w:val="333333"/>
        </w:rPr>
        <w:t>The</w:t>
        <w:tab/>
        <w:t>compounds</w:t>
        <w:tab/>
        <w:t>dimethyl</w:t>
        <w:tab/>
        <w:t>aniline</w:t>
        <w:tab/>
        <w:t>and</w:t>
        <w:tab/>
      </w:r>
      <w:r>
        <w:rPr>
          <w:color w:val="333333"/>
          <w:spacing w:val="-3"/>
        </w:rPr>
        <w:t>2,4,6- </w:t>
      </w:r>
      <w:r>
        <w:rPr>
          <w:color w:val="333333"/>
        </w:rPr>
        <w:t>trinitroanisole react in the cold to give a molecular</w:t>
      </w:r>
      <w:r>
        <w:rPr>
          <w:color w:val="333333"/>
          <w:spacing w:val="-18"/>
        </w:rPr>
        <w:t> </w:t>
      </w:r>
      <w:r>
        <w:rPr>
          <w:color w:val="333333"/>
        </w:rPr>
        <w:t>complex:</w:t>
      </w:r>
    </w:p>
    <w:p>
      <w:pPr>
        <w:pStyle w:val="BodyText"/>
        <w:ind w:left="3524"/>
        <w:rPr>
          <w:sz w:val="20"/>
        </w:rPr>
      </w:pPr>
      <w:r>
        <w:rPr>
          <w:sz w:val="20"/>
        </w:rPr>
        <w:drawing>
          <wp:inline distT="0" distB="0" distL="0" distR="0">
            <wp:extent cx="2858554" cy="1562100"/>
            <wp:effectExtent l="0" t="0" r="0" b="0"/>
            <wp:docPr id="5" name="image6.jpeg"/>
            <wp:cNvGraphicFramePr>
              <a:graphicFrameLocks noChangeAspect="1"/>
            </wp:cNvGraphicFramePr>
            <a:graphic>
              <a:graphicData uri="http://schemas.openxmlformats.org/drawingml/2006/picture">
                <pic:pic>
                  <pic:nvPicPr>
                    <pic:cNvPr id="6" name="image6.jpeg"/>
                    <pic:cNvPicPr/>
                  </pic:nvPicPr>
                  <pic:blipFill>
                    <a:blip r:embed="rId11" cstate="print"/>
                    <a:stretch>
                      <a:fillRect/>
                    </a:stretch>
                  </pic:blipFill>
                  <pic:spPr>
                    <a:xfrm>
                      <a:off x="0" y="0"/>
                      <a:ext cx="2858554" cy="1562100"/>
                    </a:xfrm>
                    <a:prstGeom prst="rect">
                      <a:avLst/>
                    </a:prstGeom>
                  </pic:spPr>
                </pic:pic>
              </a:graphicData>
            </a:graphic>
          </wp:inline>
        </w:drawing>
      </w:r>
      <w:r>
        <w:rPr>
          <w:sz w:val="20"/>
        </w:rPr>
      </w:r>
    </w:p>
    <w:p>
      <w:pPr>
        <w:spacing w:before="0"/>
        <w:ind w:left="246" w:right="106" w:firstLine="142"/>
        <w:jc w:val="both"/>
        <w:rPr>
          <w:b/>
          <w:i/>
          <w:sz w:val="36"/>
        </w:rPr>
      </w:pPr>
      <w:r>
        <w:rPr/>
        <w:pict>
          <v:group style="position:absolute;margin-left:33.299999pt;margin-top:17.804699pt;width:288.3pt;height:1pt;mso-position-horizontal-relative:page;mso-position-vertical-relative:paragraph;z-index:-251933696" coordorigin="666,356" coordsize="5766,20">
            <v:line style="position:absolute" from="666,366" to="966,366" stroked="true" strokeweight="1pt" strokecolor="#ff0000">
              <v:stroke dashstyle="solid"/>
            </v:line>
            <v:rect style="position:absolute;left:968;top:356;width:5464;height:20" filled="true" fillcolor="#ff0000" stroked="false">
              <v:fill type="solid"/>
            </v:rect>
            <w10:wrap type="none"/>
          </v:group>
        </w:pict>
      </w:r>
      <w:r>
        <w:rPr>
          <w:b/>
          <w:i/>
          <w:color w:val="FF0000"/>
          <w:sz w:val="36"/>
        </w:rPr>
        <w:t>2-</w:t>
      </w:r>
      <w:r>
        <w:rPr>
          <w:b/>
          <w:i/>
          <w:color w:val="FF0000"/>
          <w:sz w:val="36"/>
          <w:shd w:fill="00FFFF" w:color="auto" w:val="clear"/>
        </w:rPr>
        <w:t>electron donor–acceptor mechanism </w:t>
      </w:r>
      <w:r>
        <w:rPr>
          <w:color w:val="333333"/>
          <w:sz w:val="36"/>
          <w:shd w:fill="00FFFF" w:color="auto" w:val="clear"/>
        </w:rPr>
        <w:t>:-</w:t>
      </w:r>
      <w:r>
        <w:rPr>
          <w:color w:val="333333"/>
          <w:sz w:val="36"/>
        </w:rPr>
        <w:t> The type of bonding existing in molecular complexes in which hydrogen bonding plays no part is not fully understood ,but it may be considered as </w:t>
      </w:r>
      <w:r>
        <w:rPr>
          <w:i/>
          <w:sz w:val="36"/>
        </w:rPr>
        <w:t>el</w:t>
      </w:r>
      <w:r>
        <w:rPr>
          <w:b/>
          <w:i/>
          <w:sz w:val="36"/>
        </w:rPr>
        <w:t>ectron donor–acceptor </w:t>
      </w:r>
      <w:r>
        <w:rPr>
          <w:b/>
          <w:i/>
          <w:sz w:val="36"/>
        </w:rPr>
        <w:t>mechanism</w:t>
      </w:r>
    </w:p>
    <w:p>
      <w:pPr>
        <w:pStyle w:val="BodyText"/>
        <w:ind w:left="3524"/>
        <w:rPr>
          <w:sz w:val="20"/>
        </w:rPr>
      </w:pPr>
      <w:r>
        <w:rPr>
          <w:sz w:val="20"/>
        </w:rPr>
        <w:drawing>
          <wp:inline distT="0" distB="0" distL="0" distR="0">
            <wp:extent cx="2857384" cy="1571625"/>
            <wp:effectExtent l="0" t="0" r="0" b="0"/>
            <wp:docPr id="7" name="image7.jpeg"/>
            <wp:cNvGraphicFramePr>
              <a:graphicFrameLocks noChangeAspect="1"/>
            </wp:cNvGraphicFramePr>
            <a:graphic>
              <a:graphicData uri="http://schemas.openxmlformats.org/drawingml/2006/picture">
                <pic:pic>
                  <pic:nvPicPr>
                    <pic:cNvPr id="8" name="image7.jpeg"/>
                    <pic:cNvPicPr/>
                  </pic:nvPicPr>
                  <pic:blipFill>
                    <a:blip r:embed="rId12" cstate="print"/>
                    <a:stretch>
                      <a:fillRect/>
                    </a:stretch>
                  </pic:blipFill>
                  <pic:spPr>
                    <a:xfrm>
                      <a:off x="0" y="0"/>
                      <a:ext cx="2857384" cy="1571625"/>
                    </a:xfrm>
                    <a:prstGeom prst="rect">
                      <a:avLst/>
                    </a:prstGeom>
                  </pic:spPr>
                </pic:pic>
              </a:graphicData>
            </a:graphic>
          </wp:inline>
        </w:drawing>
      </w:r>
      <w:r>
        <w:rPr>
          <w:sz w:val="20"/>
        </w:rPr>
      </w:r>
    </w:p>
    <w:p>
      <w:pPr>
        <w:spacing w:before="1"/>
        <w:ind w:left="246" w:right="106" w:firstLine="0"/>
        <w:jc w:val="both"/>
        <w:rPr>
          <w:sz w:val="32"/>
        </w:rPr>
      </w:pPr>
      <w:r>
        <w:rPr/>
        <w:pict>
          <v:line style="position:absolute;mso-position-horizontal-relative:page;mso-position-vertical-relative:paragraph;z-index:-251932672" from="26.200001pt,18.354694pt" to="35.200001pt,18.354694pt" stroked="true" strokeweight="1pt" strokecolor="#333333">
            <v:stroke dashstyle="solid"/>
            <w10:wrap type="none"/>
          </v:line>
        </w:pict>
      </w:r>
      <w:r>
        <w:rPr/>
        <w:pict>
          <v:line style="position:absolute;mso-position-horizontal-relative:page;mso-position-vertical-relative:paragraph;z-index:-251931648" from="242.800003pt,18.354694pt" to="247.300003pt,18.354694pt" stroked="true" strokeweight="1pt" strokecolor="#333333">
            <v:stroke dashstyle="solid"/>
            <w10:wrap type="none"/>
          </v:line>
        </w:pict>
      </w:r>
      <w:r>
        <w:rPr>
          <w:b/>
          <w:i/>
          <w:color w:val="333333"/>
          <w:sz w:val="36"/>
        </w:rPr>
        <w:t>3</w:t>
      </w:r>
      <w:r>
        <w:rPr>
          <w:b/>
          <w:i/>
          <w:color w:val="FF0000"/>
          <w:sz w:val="36"/>
          <w:shd w:fill="00FFFF" w:color="auto" w:val="clear"/>
          <w:u w:val="single" w:color="FF0000"/>
        </w:rPr>
        <w:t>- charge transfer complexes</w:t>
      </w:r>
      <w:r>
        <w:rPr>
          <w:b/>
          <w:i/>
          <w:color w:val="333333"/>
          <w:sz w:val="36"/>
        </w:rPr>
        <w:t>. </w:t>
      </w:r>
      <w:r>
        <w:rPr>
          <w:color w:val="333333"/>
          <w:sz w:val="36"/>
        </w:rPr>
        <w:t>one molecule polarizes the other, resulting in a type of ionic interaction or charge transfer, For example, the polar nitro groups of trinitrobenzene induce a dipole in the readily polarizable benzene </w:t>
      </w:r>
      <w:r>
        <w:rPr>
          <w:color w:val="333333"/>
          <w:sz w:val="32"/>
        </w:rPr>
        <w:t>molecule, and the electrostatic interaction that results leads to complex formation:</w:t>
      </w:r>
    </w:p>
    <w:p>
      <w:pPr>
        <w:pStyle w:val="BodyText"/>
        <w:ind w:left="1490"/>
        <w:rPr>
          <w:sz w:val="20"/>
        </w:rPr>
      </w:pPr>
      <w:r>
        <w:rPr>
          <w:sz w:val="20"/>
        </w:rPr>
        <w:pict>
          <v:group style="width:228pt;height:166.9pt;mso-position-horizontal-relative:char;mso-position-vertical-relative:line" coordorigin="0,0" coordsize="4560,3338">
            <v:rect style="position:absolute;left:8;top:0;width:4544;height:3322" filled="true" fillcolor="#f0f0f0" stroked="false">
              <v:fill type="solid"/>
            </v:rect>
            <v:line style="position:absolute" from="0,8" to="4560,8" stroked="true" strokeweight=".8pt" strokecolor="#dfdfdf">
              <v:stroke dashstyle="solid"/>
            </v:line>
            <v:line style="position:absolute" from="0,3330" to="4560,3330" stroked="true" strokeweight=".8pt" strokecolor="#dfdfdf">
              <v:stroke dashstyle="solid"/>
            </v:line>
            <v:line style="position:absolute" from="8,0" to="8,3338" stroked="true" strokeweight=".8pt" strokecolor="#dfdfdf">
              <v:stroke dashstyle="solid"/>
            </v:line>
            <v:line style="position:absolute" from="4552,0" to="4552,3338" stroked="true" strokeweight=".8pt" strokecolor="#dfdfdf">
              <v:stroke dashstyle="solid"/>
            </v:line>
            <v:line style="position:absolute" from="224,248" to="4328,248" stroked="true" strokeweight=".8pt" strokecolor="#dfdfdf">
              <v:stroke dashstyle="solid"/>
            </v:line>
            <v:line style="position:absolute" from="224,3090" to="4328,3090" stroked="true" strokeweight=".8pt" strokecolor="#dfdfdf">
              <v:stroke dashstyle="solid"/>
            </v:line>
            <v:line style="position:absolute" from="232,240" to="232,3098" stroked="true" strokeweight=".8pt" strokecolor="#dfdfdf">
              <v:stroke dashstyle="solid"/>
            </v:line>
            <v:line style="position:absolute" from="4320,240" to="4320,3098" stroked="true" strokeweight=".8pt" strokecolor="#dfdfdf">
              <v:stroke dashstyle="solid"/>
            </v:line>
            <v:shape style="position:absolute;left:458;top:480;width:3858;height:2374" type="#_x0000_t75" stroked="false">
              <v:imagedata r:id="rId13" o:title=""/>
            </v:shape>
          </v:group>
        </w:pict>
      </w:r>
      <w:r>
        <w:rPr>
          <w:sz w:val="20"/>
        </w:rPr>
      </w:r>
    </w:p>
    <w:p>
      <w:pPr>
        <w:spacing w:after="0"/>
        <w:rPr>
          <w:sz w:val="20"/>
        </w:rPr>
        <w:sectPr>
          <w:pgSz w:w="11900" w:h="16840"/>
          <w:pgMar w:header="0" w:footer="999" w:top="1380" w:bottom="1180" w:left="280" w:right="220"/>
        </w:sectPr>
      </w:pPr>
    </w:p>
    <w:p>
      <w:pPr>
        <w:spacing w:before="60" w:after="2"/>
        <w:ind w:left="388" w:right="812" w:firstLine="0"/>
        <w:jc w:val="left"/>
        <w:rPr>
          <w:sz w:val="36"/>
        </w:rPr>
      </w:pPr>
      <w:r>
        <w:rPr/>
        <w:pict>
          <v:group style="position:absolute;margin-left:33.299999pt;margin-top:20.804699pt;width:431.7pt;height:1pt;mso-position-horizontal-relative:page;mso-position-vertical-relative:paragraph;z-index:-251930624" coordorigin="666,416" coordsize="8634,20">
            <v:line style="position:absolute" from="666,426" to="966,426" stroked="true" strokeweight="1pt" strokecolor="#ff0000">
              <v:stroke dashstyle="solid"/>
            </v:line>
            <v:rect style="position:absolute;left:968;top:416;width:8332;height:20" filled="true" fillcolor="#ff0000" stroked="false">
              <v:fill type="solid"/>
            </v:rect>
            <w10:wrap type="none"/>
          </v:group>
        </w:pict>
      </w:r>
      <w:r>
        <w:rPr>
          <w:b/>
          <w:i/>
          <w:color w:val="FF0000"/>
          <w:sz w:val="36"/>
        </w:rPr>
        <w:t>4-</w:t>
      </w:r>
      <w:r>
        <w:rPr>
          <w:b/>
          <w:i/>
          <w:color w:val="FF0000"/>
          <w:sz w:val="36"/>
          <w:shd w:fill="00FFFF" w:color="auto" w:val="clear"/>
        </w:rPr>
        <w:t>London dispersion forces and dipole–dipole interactions</w:t>
      </w:r>
      <w:r>
        <w:rPr>
          <w:b/>
          <w:i/>
          <w:color w:val="FF0000"/>
          <w:sz w:val="36"/>
        </w:rPr>
        <w:t> </w:t>
      </w:r>
      <w:r>
        <w:rPr>
          <w:sz w:val="36"/>
        </w:rPr>
        <w:t>contribute more to the stability of the complex. A resonance interaction is shown in Figure 10-2 .</w:t>
      </w:r>
    </w:p>
    <w:p>
      <w:pPr>
        <w:pStyle w:val="BodyText"/>
        <w:ind w:left="424"/>
        <w:rPr>
          <w:sz w:val="20"/>
        </w:rPr>
      </w:pPr>
      <w:r>
        <w:rPr>
          <w:sz w:val="20"/>
        </w:rPr>
        <w:drawing>
          <wp:inline distT="0" distB="0" distL="0" distR="0">
            <wp:extent cx="3326180" cy="1764982"/>
            <wp:effectExtent l="0" t="0" r="0" b="0"/>
            <wp:docPr id="9" name="image9.jpeg"/>
            <wp:cNvGraphicFramePr>
              <a:graphicFrameLocks noChangeAspect="1"/>
            </wp:cNvGraphicFramePr>
            <a:graphic>
              <a:graphicData uri="http://schemas.openxmlformats.org/drawingml/2006/picture">
                <pic:pic>
                  <pic:nvPicPr>
                    <pic:cNvPr id="10" name="image9.jpeg"/>
                    <pic:cNvPicPr/>
                  </pic:nvPicPr>
                  <pic:blipFill>
                    <a:blip r:embed="rId14" cstate="print"/>
                    <a:stretch>
                      <a:fillRect/>
                    </a:stretch>
                  </pic:blipFill>
                  <pic:spPr>
                    <a:xfrm>
                      <a:off x="0" y="0"/>
                      <a:ext cx="3326180" cy="1764982"/>
                    </a:xfrm>
                    <a:prstGeom prst="rect">
                      <a:avLst/>
                    </a:prstGeom>
                  </pic:spPr>
                </pic:pic>
              </a:graphicData>
            </a:graphic>
          </wp:inline>
        </w:drawing>
      </w:r>
      <w:r>
        <w:rPr>
          <w:sz w:val="20"/>
        </w:rPr>
      </w:r>
    </w:p>
    <w:p>
      <w:pPr>
        <w:spacing w:before="0"/>
        <w:ind w:left="388" w:right="847" w:firstLine="0"/>
        <w:jc w:val="left"/>
        <w:rPr>
          <w:sz w:val="28"/>
        </w:rPr>
      </w:pPr>
      <w:r>
        <w:rPr>
          <w:b/>
          <w:sz w:val="28"/>
        </w:rPr>
        <w:t>Fig. 10-2. </w:t>
      </w:r>
      <w:r>
        <w:rPr>
          <w:sz w:val="28"/>
        </w:rPr>
        <w:t>Resonance in a donor–acceptor complex of trinitrobenzene (acceptor, top) and hexamethylbenzene (donor, bottom).</w:t>
      </w:r>
    </w:p>
    <w:p>
      <w:pPr>
        <w:pStyle w:val="BodyText"/>
        <w:ind w:left="103" w:right="376" w:firstLine="568"/>
        <w:jc w:val="both"/>
      </w:pPr>
      <w:r>
        <w:rPr>
          <w:color w:val="333333"/>
        </w:rPr>
        <w:t>Trinitrobenzene is the acceptor, A, molecule and hexamethylbenzene is the donor, D. On the left side of the figure, weak dispersion and dipolar forces contribute to the interaction of A and D; on the right side of the figure, the interaction of A and D results from a significant transfer of charge, making the electron acceptor trinitrobenzene negatively charged (A</w:t>
      </w:r>
      <w:r>
        <w:rPr>
          <w:color w:val="333333"/>
          <w:position w:val="14"/>
          <w:sz w:val="21"/>
        </w:rPr>
        <w:t>-</w:t>
      </w:r>
      <w:r>
        <w:rPr>
          <w:color w:val="333333"/>
        </w:rPr>
        <w:t>) and leaving the donor, hexamethylbenzene, positively charged (D</w:t>
      </w:r>
      <w:r>
        <w:rPr>
          <w:color w:val="333333"/>
          <w:position w:val="14"/>
          <w:sz w:val="21"/>
        </w:rPr>
        <w:t>+</w:t>
      </w:r>
      <w:r>
        <w:rPr>
          <w:color w:val="333333"/>
        </w:rPr>
        <w:t>). The overall donor–acceptor complex is shown by the double-headed arrow to resonate between the uncharged D … A and the charged D</w:t>
      </w:r>
      <w:r>
        <w:rPr>
          <w:color w:val="333333"/>
          <w:position w:val="14"/>
          <w:sz w:val="21"/>
        </w:rPr>
        <w:t>+ </w:t>
      </w:r>
      <w:r>
        <w:rPr>
          <w:color w:val="333333"/>
        </w:rPr>
        <w:t>… A</w:t>
      </w:r>
      <w:r>
        <w:rPr>
          <w:color w:val="333333"/>
          <w:position w:val="14"/>
          <w:sz w:val="21"/>
        </w:rPr>
        <w:t>- </w:t>
      </w:r>
      <w:r>
        <w:rPr>
          <w:color w:val="333333"/>
        </w:rPr>
        <w:t>moieties.</w:t>
      </w:r>
    </w:p>
    <w:p>
      <w:pPr>
        <w:pStyle w:val="BodyText"/>
        <w:ind w:left="103" w:right="388" w:firstLine="568"/>
        <w:jc w:val="both"/>
      </w:pPr>
      <w:r>
        <w:rPr>
          <w:color w:val="333333"/>
        </w:rPr>
        <w:t>Many organic complexes are so weak that they cannot be separated from their solutions as definite compounds, and they are often difficult to detect by chemical and physical means. The energy of attraction between the constituents is probably less than 5 kcal/mole for most organic complexes. Because the bond distance between the components of the complex is usually greater than 3 Å,</w:t>
      </w:r>
    </w:p>
    <w:p>
      <w:pPr>
        <w:pStyle w:val="BodyText"/>
        <w:ind w:left="103" w:right="392" w:firstLine="568"/>
        <w:jc w:val="both"/>
      </w:pPr>
      <w:r>
        <w:rPr>
          <w:color w:val="333333"/>
        </w:rPr>
        <w:t>In both charge transfer and donor–acceptor complexes, Charge transfer complexes are of importance in pharmacy. Iodine forms 1:1 charge transfer complexes with the drugs disulfiram, chlomethiazole, and tolnaftate. These drugs have recognized pharmacologic actions of their own:</w:t>
      </w:r>
    </w:p>
    <w:p>
      <w:pPr>
        <w:pStyle w:val="BodyText"/>
        <w:ind w:left="1522" w:right="1660"/>
      </w:pPr>
      <w:r>
        <w:rPr>
          <w:color w:val="FF0000"/>
        </w:rPr>
        <w:t>Disulfiram </w:t>
      </w:r>
      <w:r>
        <w:rPr>
          <w:color w:val="333333"/>
        </w:rPr>
        <w:t>is used against </w:t>
      </w:r>
      <w:r>
        <w:rPr>
          <w:color w:val="FF0000"/>
          <w:u w:val="single" w:color="FF0000"/>
        </w:rPr>
        <w:t>alcohol addiction</w:t>
      </w:r>
      <w:r>
        <w:rPr>
          <w:color w:val="333333"/>
        </w:rPr>
        <w:t>, </w:t>
      </w:r>
      <w:r>
        <w:rPr>
          <w:color w:val="FF0000"/>
          <w:u w:val="single" w:color="FF0000"/>
        </w:rPr>
        <w:t>clomethiazole</w:t>
      </w:r>
      <w:r>
        <w:rPr>
          <w:color w:val="FF0000"/>
        </w:rPr>
        <w:t> </w:t>
      </w:r>
      <w:r>
        <w:rPr>
          <w:color w:val="333333"/>
        </w:rPr>
        <w:t>is a </w:t>
      </w:r>
      <w:r>
        <w:rPr>
          <w:color w:val="FF0000"/>
          <w:u w:val="single" w:color="FF0000"/>
        </w:rPr>
        <w:t>sedative–hypnotic and anticonvulsant</w:t>
      </w:r>
      <w:r>
        <w:rPr>
          <w:color w:val="333333"/>
        </w:rPr>
        <w:t>, </w:t>
      </w:r>
      <w:r>
        <w:rPr>
          <w:color w:val="FF0000"/>
          <w:u w:val="single" w:color="FF0000"/>
        </w:rPr>
        <w:t>tolnaftate</w:t>
      </w:r>
      <w:r>
        <w:rPr>
          <w:color w:val="FF0000"/>
        </w:rPr>
        <w:t> </w:t>
      </w:r>
      <w:r>
        <w:rPr>
          <w:color w:val="333333"/>
        </w:rPr>
        <w:t>is an </w:t>
      </w:r>
      <w:r>
        <w:rPr>
          <w:color w:val="FF0000"/>
          <w:u w:val="single" w:color="FF0000"/>
        </w:rPr>
        <w:t>antifungal agent</w:t>
      </w:r>
      <w:r>
        <w:rPr>
          <w:color w:val="333333"/>
        </w:rPr>
        <w:t>.</w:t>
      </w:r>
    </w:p>
    <w:p>
      <w:pPr>
        <w:spacing w:after="0"/>
        <w:sectPr>
          <w:pgSz w:w="11900" w:h="16840"/>
          <w:pgMar w:header="0" w:footer="999" w:top="1380" w:bottom="1180" w:left="280" w:right="220"/>
        </w:sectPr>
      </w:pPr>
    </w:p>
    <w:p>
      <w:pPr>
        <w:spacing w:before="60"/>
        <w:ind w:left="388" w:right="389" w:firstLine="426"/>
        <w:jc w:val="both"/>
        <w:rPr>
          <w:sz w:val="32"/>
        </w:rPr>
      </w:pPr>
      <w:r>
        <w:rPr>
          <w:color w:val="333333"/>
          <w:sz w:val="36"/>
        </w:rPr>
        <w:t>Each of these drugs possesses a nitrogen–carbon–sulfur moiety . and a complex may result from the transfer of </w:t>
      </w:r>
      <w:r>
        <w:rPr>
          <w:color w:val="333333"/>
          <w:spacing w:val="-2"/>
          <w:sz w:val="36"/>
        </w:rPr>
        <w:t>charge </w:t>
      </w:r>
      <w:r>
        <w:rPr>
          <w:color w:val="333333"/>
          <w:sz w:val="36"/>
        </w:rPr>
        <w:t>from the pair of free electrons on the nitrogen and/or sulfur atoms of these drugs to the antibonding orbital of the iodine atom. Thus, by tying up iodine, </w:t>
      </w:r>
      <w:r>
        <w:rPr>
          <w:color w:val="333333"/>
          <w:sz w:val="32"/>
        </w:rPr>
        <w:t>molecules containing the N—C==S moiety inhibit thyroid action in the</w:t>
      </w:r>
      <w:r>
        <w:rPr>
          <w:color w:val="333333"/>
          <w:spacing w:val="-18"/>
          <w:sz w:val="32"/>
        </w:rPr>
        <w:t> </w:t>
      </w:r>
      <w:r>
        <w:rPr>
          <w:color w:val="333333"/>
          <w:sz w:val="32"/>
        </w:rPr>
        <w:t>body.</w:t>
      </w:r>
    </w:p>
    <w:p>
      <w:pPr>
        <w:pStyle w:val="BodyText"/>
        <w:ind w:left="1490"/>
        <w:rPr>
          <w:sz w:val="20"/>
        </w:rPr>
      </w:pPr>
      <w:r>
        <w:rPr>
          <w:sz w:val="20"/>
        </w:rPr>
        <w:pict>
          <v:group style="width:293.3pt;height:151.8pt;mso-position-horizontal-relative:char;mso-position-vertical-relative:line" coordorigin="0,0" coordsize="5866,3036">
            <v:rect style="position:absolute;left:8;top:0;width:5850;height:3020" filled="true" fillcolor="#f0f0f0" stroked="false">
              <v:fill type="solid"/>
            </v:rect>
            <v:line style="position:absolute" from="0,8" to="5866,8" stroked="true" strokeweight=".8pt" strokecolor="#dfdfdf">
              <v:stroke dashstyle="solid"/>
            </v:line>
            <v:line style="position:absolute" from="0,3028" to="5866,3028" stroked="true" strokeweight=".8pt" strokecolor="#dfdfdf">
              <v:stroke dashstyle="solid"/>
            </v:line>
            <v:line style="position:absolute" from="8,0" to="8,3036" stroked="true" strokeweight=".8pt" strokecolor="#dfdfdf">
              <v:stroke dashstyle="solid"/>
            </v:line>
            <v:line style="position:absolute" from="5858,0" to="5858,3036" stroked="true" strokeweight=".8pt" strokecolor="#dfdfdf">
              <v:stroke dashstyle="solid"/>
            </v:line>
            <v:line style="position:absolute" from="224,248" to="5618,248" stroked="true" strokeweight=".8pt" strokecolor="#dfdfdf">
              <v:stroke dashstyle="solid"/>
            </v:line>
            <v:line style="position:absolute" from="224,2786" to="5618,2786" stroked="true" strokeweight=".8pt" strokecolor="#dfdfdf">
              <v:stroke dashstyle="solid"/>
            </v:line>
            <v:line style="position:absolute" from="232,240" to="232,2794" stroked="true" strokeweight=".8pt" strokecolor="#dfdfdf">
              <v:stroke dashstyle="solid"/>
            </v:line>
            <v:line style="position:absolute" from="5610,240" to="5610,2794" stroked="true" strokeweight=".8pt" strokecolor="#dfdfdf">
              <v:stroke dashstyle="solid"/>
            </v:line>
            <v:shape style="position:absolute;left:488;top:480;width:5118;height:2072" type="#_x0000_t75" stroked="false">
              <v:imagedata r:id="rId15" o:title=""/>
            </v:shape>
          </v:group>
        </w:pict>
      </w:r>
      <w:r>
        <w:rPr>
          <w:sz w:val="20"/>
        </w:rPr>
      </w:r>
    </w:p>
    <w:p>
      <w:pPr>
        <w:pStyle w:val="Heading2"/>
        <w:spacing w:line="369" w:lineRule="exact" w:before="0"/>
        <w:rPr>
          <w:i/>
          <w:u w:val="none"/>
        </w:rPr>
      </w:pPr>
      <w:r>
        <w:rPr>
          <w:i/>
          <w:color w:val="FF0000"/>
          <w:shd w:fill="FFFF00" w:color="auto" w:val="clear"/>
          <w:u w:val="single" w:color="FF0000"/>
        </w:rPr>
        <w:t>Drug Complexes</w:t>
      </w:r>
    </w:p>
    <w:p>
      <w:pPr>
        <w:pStyle w:val="BodyText"/>
        <w:ind w:right="745" w:firstLine="850"/>
      </w:pPr>
      <w:r>
        <w:rPr>
          <w:color w:val="333333"/>
        </w:rPr>
        <w:t>Caffeine complexing with a number of acidic drugs. such as a sulfonamide or a barbiturate to a dipole–dipole force or hydrogen bonding between the polarized carbonyl groups of caffeine and the hydrogen atom of the acid. A secondary interaction probably occurs between the nonpolar parts of the molecules, and the resultant complex is “squeezed out” of the aqueous phase owing to the great internal pressure of water. These two effects lead to a high degree of interaction.</w:t>
      </w:r>
    </w:p>
    <w:p>
      <w:pPr>
        <w:pStyle w:val="BodyText"/>
        <w:spacing w:line="276" w:lineRule="auto"/>
        <w:ind w:right="316" w:firstLine="850"/>
      </w:pPr>
      <w:r>
        <w:rPr>
          <w:color w:val="333333"/>
        </w:rPr>
        <w:t>Caffeine forms complexes with organic acid </w:t>
      </w:r>
      <w:r>
        <w:rPr>
          <w:i/>
          <w:color w:val="333333"/>
        </w:rPr>
        <w:t>anions </w:t>
      </w:r>
      <w:r>
        <w:rPr>
          <w:color w:val="333333"/>
        </w:rPr>
        <w:t>that are more soluble than the pure xanthine, but the complexes formed with organic acids, such as gentisic acid, are less soluble than caffeine alone. Such insoluble complexes provide caffeine in a form that masks its normally bitter taste and should serve as a suitable state for chewable tablets.</w:t>
      </w:r>
    </w:p>
    <w:p>
      <w:pPr>
        <w:pStyle w:val="BodyText"/>
        <w:spacing w:before="9"/>
        <w:ind w:left="0"/>
        <w:rPr>
          <w:sz w:val="20"/>
        </w:rPr>
      </w:pPr>
      <w:r>
        <w:rPr/>
        <w:drawing>
          <wp:anchor distT="0" distB="0" distL="0" distR="0" allowOverlap="1" layoutInCell="1" locked="0" behindDoc="0" simplePos="0" relativeHeight="14">
            <wp:simplePos x="0" y="0"/>
            <wp:positionH relativeFrom="page">
              <wp:posOffset>1143000</wp:posOffset>
            </wp:positionH>
            <wp:positionV relativeFrom="paragraph">
              <wp:posOffset>370276</wp:posOffset>
            </wp:positionV>
            <wp:extent cx="1386173" cy="1320165"/>
            <wp:effectExtent l="0" t="0" r="0" b="0"/>
            <wp:wrapTopAndBottom/>
            <wp:docPr id="11" name="image11.jpeg"/>
            <wp:cNvGraphicFramePr>
              <a:graphicFrameLocks noChangeAspect="1"/>
            </wp:cNvGraphicFramePr>
            <a:graphic>
              <a:graphicData uri="http://schemas.openxmlformats.org/drawingml/2006/picture">
                <pic:pic>
                  <pic:nvPicPr>
                    <pic:cNvPr id="12" name="image11.jpeg"/>
                    <pic:cNvPicPr/>
                  </pic:nvPicPr>
                  <pic:blipFill>
                    <a:blip r:embed="rId16" cstate="print"/>
                    <a:stretch>
                      <a:fillRect/>
                    </a:stretch>
                  </pic:blipFill>
                  <pic:spPr>
                    <a:xfrm>
                      <a:off x="0" y="0"/>
                      <a:ext cx="1386173" cy="1320165"/>
                    </a:xfrm>
                    <a:prstGeom prst="rect">
                      <a:avLst/>
                    </a:prstGeom>
                  </pic:spPr>
                </pic:pic>
              </a:graphicData>
            </a:graphic>
          </wp:anchor>
        </w:drawing>
      </w:r>
      <w:r>
        <w:rPr/>
        <w:drawing>
          <wp:anchor distT="0" distB="0" distL="0" distR="0" allowOverlap="1" layoutInCell="1" locked="0" behindDoc="0" simplePos="0" relativeHeight="15">
            <wp:simplePos x="0" y="0"/>
            <wp:positionH relativeFrom="page">
              <wp:posOffset>2705100</wp:posOffset>
            </wp:positionH>
            <wp:positionV relativeFrom="paragraph">
              <wp:posOffset>326216</wp:posOffset>
            </wp:positionV>
            <wp:extent cx="1421037" cy="1371600"/>
            <wp:effectExtent l="0" t="0" r="0" b="0"/>
            <wp:wrapTopAndBottom/>
            <wp:docPr id="13" name="image12.jpeg"/>
            <wp:cNvGraphicFramePr>
              <a:graphicFrameLocks noChangeAspect="1"/>
            </wp:cNvGraphicFramePr>
            <a:graphic>
              <a:graphicData uri="http://schemas.openxmlformats.org/drawingml/2006/picture">
                <pic:pic>
                  <pic:nvPicPr>
                    <pic:cNvPr id="14" name="image12.jpeg"/>
                    <pic:cNvPicPr/>
                  </pic:nvPicPr>
                  <pic:blipFill>
                    <a:blip r:embed="rId17" cstate="print"/>
                    <a:stretch>
                      <a:fillRect/>
                    </a:stretch>
                  </pic:blipFill>
                  <pic:spPr>
                    <a:xfrm>
                      <a:off x="0" y="0"/>
                      <a:ext cx="1421037" cy="1371600"/>
                    </a:xfrm>
                    <a:prstGeom prst="rect">
                      <a:avLst/>
                    </a:prstGeom>
                  </pic:spPr>
                </pic:pic>
              </a:graphicData>
            </a:graphic>
          </wp:anchor>
        </w:drawing>
      </w:r>
      <w:r>
        <w:rPr/>
        <w:drawing>
          <wp:anchor distT="0" distB="0" distL="0" distR="0" allowOverlap="1" layoutInCell="1" locked="0" behindDoc="0" simplePos="0" relativeHeight="16">
            <wp:simplePos x="0" y="0"/>
            <wp:positionH relativeFrom="page">
              <wp:posOffset>4464290</wp:posOffset>
            </wp:positionH>
            <wp:positionV relativeFrom="paragraph">
              <wp:posOffset>176900</wp:posOffset>
            </wp:positionV>
            <wp:extent cx="1089046" cy="1516475"/>
            <wp:effectExtent l="0" t="0" r="0" b="0"/>
            <wp:wrapTopAndBottom/>
            <wp:docPr id="15" name="image13.jpeg"/>
            <wp:cNvGraphicFramePr>
              <a:graphicFrameLocks noChangeAspect="1"/>
            </wp:cNvGraphicFramePr>
            <a:graphic>
              <a:graphicData uri="http://schemas.openxmlformats.org/drawingml/2006/picture">
                <pic:pic>
                  <pic:nvPicPr>
                    <pic:cNvPr id="16" name="image13.jpeg"/>
                    <pic:cNvPicPr/>
                  </pic:nvPicPr>
                  <pic:blipFill>
                    <a:blip r:embed="rId18" cstate="print"/>
                    <a:stretch>
                      <a:fillRect/>
                    </a:stretch>
                  </pic:blipFill>
                  <pic:spPr>
                    <a:xfrm>
                      <a:off x="0" y="0"/>
                      <a:ext cx="1089046" cy="1516475"/>
                    </a:xfrm>
                    <a:prstGeom prst="rect">
                      <a:avLst/>
                    </a:prstGeom>
                  </pic:spPr>
                </pic:pic>
              </a:graphicData>
            </a:graphic>
          </wp:anchor>
        </w:drawing>
      </w:r>
    </w:p>
    <w:p>
      <w:pPr>
        <w:spacing w:after="0"/>
        <w:rPr>
          <w:sz w:val="20"/>
        </w:rPr>
        <w:sectPr>
          <w:pgSz w:w="11900" w:h="16840"/>
          <w:pgMar w:header="0" w:footer="999" w:top="1380" w:bottom="1180" w:left="280" w:right="220"/>
        </w:sectPr>
      </w:pPr>
    </w:p>
    <w:p>
      <w:pPr>
        <w:pStyle w:val="Heading2"/>
        <w:ind w:left="1522"/>
        <w:rPr>
          <w:i/>
          <w:u w:val="none"/>
        </w:rPr>
      </w:pPr>
      <w:r>
        <w:rPr>
          <w:i/>
          <w:color w:val="FF0000"/>
          <w:shd w:fill="FFFF00" w:color="auto" w:val="clear"/>
          <w:u w:val="single" w:color="FF0000"/>
        </w:rPr>
        <w:t>Polymer Complexes</w:t>
      </w:r>
    </w:p>
    <w:p>
      <w:pPr>
        <w:pStyle w:val="BodyText"/>
        <w:spacing w:before="7"/>
        <w:ind w:left="0"/>
        <w:rPr>
          <w:b/>
          <w:i/>
          <w:sz w:val="28"/>
        </w:rPr>
      </w:pPr>
    </w:p>
    <w:p>
      <w:pPr>
        <w:pStyle w:val="BodyText"/>
        <w:spacing w:before="85"/>
        <w:ind w:right="627" w:firstLine="1134"/>
      </w:pPr>
      <w:r>
        <w:rPr>
          <w:color w:val="333333"/>
        </w:rPr>
        <w:t>Polyethylene glycols, polystyrene, carboxymethylcellulose, and similar polymers containing nucleophilic oxygens can form complexes with various drugs., can be attributed to these interactions. the interactions that may occur in</w:t>
      </w:r>
    </w:p>
    <w:p>
      <w:pPr>
        <w:pStyle w:val="BodyText"/>
        <w:ind w:left="1522" w:right="7856"/>
        <w:jc w:val="both"/>
      </w:pPr>
      <w:r>
        <w:rPr>
          <w:color w:val="FF0000"/>
        </w:rPr>
        <w:t>1-</w:t>
      </w:r>
      <w:r>
        <w:rPr>
          <w:color w:val="FF0000"/>
          <w:u w:val="single" w:color="FF0000"/>
        </w:rPr>
        <w:t>suspensions 2- emulsions, 3-ointments</w:t>
      </w:r>
      <w:r>
        <w:rPr>
          <w:color w:val="FF0000"/>
        </w:rPr>
        <w:t>,</w:t>
      </w:r>
    </w:p>
    <w:p>
      <w:pPr>
        <w:pStyle w:val="BodyText"/>
        <w:ind w:left="1522"/>
      </w:pPr>
      <w:r>
        <w:rPr>
          <w:color w:val="FF0000"/>
        </w:rPr>
        <w:t>4-</w:t>
      </w:r>
      <w:r>
        <w:rPr>
          <w:color w:val="FF0000"/>
          <w:u w:val="single" w:color="FF0000"/>
        </w:rPr>
        <w:t>suppositories</w:t>
      </w:r>
      <w:r>
        <w:rPr>
          <w:color w:val="333333"/>
        </w:rPr>
        <w:t>.</w:t>
      </w:r>
    </w:p>
    <w:p>
      <w:pPr>
        <w:pStyle w:val="BodyText"/>
        <w:ind w:right="847" w:firstLine="1134"/>
      </w:pPr>
      <w:r>
        <w:rPr>
          <w:color w:val="333333"/>
        </w:rPr>
        <w:t>The incompatibilities of certain polyethers, such as the </w:t>
      </w:r>
      <w:r>
        <w:rPr>
          <w:color w:val="FF0000"/>
        </w:rPr>
        <w:t>Carbowaxes, Pluronics</w:t>
      </w:r>
      <w:r>
        <w:rPr>
          <w:color w:val="333333"/>
        </w:rPr>
        <w:t>, and </w:t>
      </w:r>
      <w:r>
        <w:rPr>
          <w:color w:val="FF0000"/>
        </w:rPr>
        <w:t>Tweens </w:t>
      </w:r>
      <w:r>
        <w:rPr>
          <w:color w:val="333333"/>
        </w:rPr>
        <w:t>with tannic acid, salicylic acid, and phenol may be manifested as a</w:t>
      </w:r>
    </w:p>
    <w:p>
      <w:pPr>
        <w:pStyle w:val="BodyText"/>
        <w:ind w:left="1522" w:right="7876"/>
      </w:pPr>
      <w:r>
        <w:rPr>
          <w:color w:val="333333"/>
        </w:rPr>
        <w:t>1-</w:t>
      </w:r>
      <w:r>
        <w:rPr>
          <w:color w:val="001F5F"/>
        </w:rPr>
        <w:t> </w:t>
      </w:r>
      <w:r>
        <w:rPr>
          <w:color w:val="001F5F"/>
          <w:u w:val="single" w:color="001F5F"/>
        </w:rPr>
        <w:t>precipitate,</w:t>
      </w:r>
      <w:r>
        <w:rPr>
          <w:color w:val="333333"/>
        </w:rPr>
        <w:t> 2-</w:t>
      </w:r>
      <w:r>
        <w:rPr>
          <w:color w:val="001F5F"/>
          <w:u w:val="single" w:color="001F5F"/>
        </w:rPr>
        <w:t> flocculate,</w:t>
      </w:r>
    </w:p>
    <w:p>
      <w:pPr>
        <w:pStyle w:val="BodyText"/>
        <w:ind w:left="1522" w:right="5361"/>
      </w:pPr>
      <w:r>
        <w:rPr>
          <w:color w:val="333333"/>
        </w:rPr>
        <w:t>3-</w:t>
      </w:r>
      <w:r>
        <w:rPr>
          <w:color w:val="001F5F"/>
        </w:rPr>
        <w:t> </w:t>
      </w:r>
      <w:r>
        <w:rPr>
          <w:color w:val="001F5F"/>
          <w:u w:val="single" w:color="001F5F"/>
        </w:rPr>
        <w:t>delayed biologic absorption,</w:t>
      </w:r>
      <w:r>
        <w:rPr>
          <w:color w:val="333333"/>
        </w:rPr>
        <w:t> 4-</w:t>
      </w:r>
      <w:r>
        <w:rPr>
          <w:color w:val="001F5F"/>
        </w:rPr>
        <w:t> </w:t>
      </w:r>
      <w:r>
        <w:rPr>
          <w:color w:val="001F5F"/>
          <w:u w:val="single" w:color="001F5F"/>
        </w:rPr>
        <w:t>loss of preservative action,</w:t>
      </w:r>
    </w:p>
    <w:p>
      <w:pPr>
        <w:pStyle w:val="BodyText"/>
        <w:ind w:left="1522"/>
      </w:pPr>
      <w:r>
        <w:rPr>
          <w:color w:val="333333"/>
        </w:rPr>
        <w:t>5-</w:t>
      </w:r>
      <w:r>
        <w:rPr>
          <w:color w:val="001F5F"/>
          <w:u w:val="single" w:color="001F5F"/>
        </w:rPr>
        <w:t> undesirable physical, chemical, and pharmacologic effects.</w:t>
      </w:r>
    </w:p>
    <w:p>
      <w:pPr>
        <w:pStyle w:val="BodyText"/>
        <w:spacing w:before="7"/>
        <w:ind w:left="0"/>
        <w:rPr>
          <w:sz w:val="28"/>
        </w:rPr>
      </w:pPr>
    </w:p>
    <w:p>
      <w:pPr>
        <w:pStyle w:val="Heading2"/>
        <w:spacing w:before="85"/>
        <w:ind w:right="5361" w:firstLine="142"/>
        <w:rPr>
          <w:u w:val="none"/>
        </w:rPr>
      </w:pPr>
      <w:r>
        <w:rPr>
          <w:i/>
          <w:color w:val="FF0000"/>
          <w:shd w:fill="FFFF00" w:color="auto" w:val="clear"/>
          <w:u w:val="single" w:color="FF0000"/>
        </w:rPr>
        <w:t>Inclusion or Occlusion Compounds</w:t>
      </w:r>
      <w:r>
        <w:rPr>
          <w:i/>
          <w:color w:val="FF0000"/>
          <w:u w:val="none"/>
        </w:rPr>
        <w:t> </w:t>
      </w:r>
      <w:r>
        <w:rPr>
          <w:color w:val="FF0000"/>
          <w:shd w:fill="BFBFBF" w:color="auto" w:val="clear"/>
          <w:u w:val="single" w:color="FF0000"/>
        </w:rPr>
        <w:t>Channel Lattice Type</w:t>
      </w:r>
    </w:p>
    <w:p>
      <w:pPr>
        <w:pStyle w:val="BodyText"/>
        <w:spacing w:after="3"/>
        <w:ind w:right="847" w:firstLine="1134"/>
      </w:pPr>
      <w:r>
        <w:rPr>
          <w:color w:val="333333"/>
        </w:rPr>
        <w:t>The </w:t>
      </w:r>
      <w:r>
        <w:rPr>
          <w:i/>
          <w:color w:val="333333"/>
        </w:rPr>
        <w:t>cholic acids </w:t>
      </w:r>
      <w:r>
        <w:rPr>
          <w:color w:val="333333"/>
        </w:rPr>
        <w:t>(bile acids) can form a group of complexes principally involving deoxycholic acid in combination with paraffins, organic acids, esters, ketones, and aromatic compounds and with solvents such as ether, alcohol, and dioxane. The crystals of deoxycholic acid are arranged to form a channel into which the complexing molecule can fit (Fig. 10-3).</w:t>
      </w:r>
    </w:p>
    <w:p>
      <w:pPr>
        <w:pStyle w:val="BodyText"/>
        <w:ind w:left="1520"/>
        <w:rPr>
          <w:sz w:val="20"/>
        </w:rPr>
      </w:pPr>
      <w:r>
        <w:rPr>
          <w:sz w:val="20"/>
        </w:rPr>
        <w:drawing>
          <wp:inline distT="0" distB="0" distL="0" distR="0">
            <wp:extent cx="4951568" cy="1612868"/>
            <wp:effectExtent l="0" t="0" r="0" b="0"/>
            <wp:docPr id="17" name="image14.png"/>
            <wp:cNvGraphicFramePr>
              <a:graphicFrameLocks noChangeAspect="1"/>
            </wp:cNvGraphicFramePr>
            <a:graphic>
              <a:graphicData uri="http://schemas.openxmlformats.org/drawingml/2006/picture">
                <pic:pic>
                  <pic:nvPicPr>
                    <pic:cNvPr id="18" name="image14.png"/>
                    <pic:cNvPicPr/>
                  </pic:nvPicPr>
                  <pic:blipFill>
                    <a:blip r:embed="rId19" cstate="print"/>
                    <a:stretch>
                      <a:fillRect/>
                    </a:stretch>
                  </pic:blipFill>
                  <pic:spPr>
                    <a:xfrm>
                      <a:off x="0" y="0"/>
                      <a:ext cx="4951568" cy="1612868"/>
                    </a:xfrm>
                    <a:prstGeom prst="rect">
                      <a:avLst/>
                    </a:prstGeom>
                  </pic:spPr>
                </pic:pic>
              </a:graphicData>
            </a:graphic>
          </wp:inline>
        </w:drawing>
      </w:r>
      <w:r>
        <w:rPr>
          <w:sz w:val="20"/>
        </w:rPr>
      </w:r>
    </w:p>
    <w:p>
      <w:pPr>
        <w:spacing w:after="0"/>
        <w:rPr>
          <w:sz w:val="20"/>
        </w:rPr>
        <w:sectPr>
          <w:pgSz w:w="11900" w:h="16840"/>
          <w:pgMar w:header="0" w:footer="999" w:top="1380" w:bottom="1180" w:left="280" w:right="220"/>
        </w:sectPr>
      </w:pPr>
    </w:p>
    <w:p>
      <w:pPr>
        <w:pStyle w:val="Heading2"/>
        <w:ind w:left="530"/>
        <w:rPr>
          <w:i/>
          <w:u w:val="none"/>
        </w:rPr>
      </w:pPr>
      <w:r>
        <w:rPr>
          <w:i/>
          <w:color w:val="FF0000"/>
          <w:shd w:fill="BFBFBF" w:color="auto" w:val="clear"/>
          <w:u w:val="single" w:color="FF0000"/>
        </w:rPr>
        <w:t>Clathrates</w:t>
      </w:r>
    </w:p>
    <w:p>
      <w:pPr>
        <w:pStyle w:val="BodyText"/>
        <w:spacing w:before="262"/>
        <w:ind w:right="394" w:firstLine="708"/>
        <w:jc w:val="both"/>
      </w:pPr>
      <w:r>
        <w:rPr>
          <w:color w:val="333333"/>
        </w:rPr>
        <w:t>The clathrates crystallize in the form of a cage like lattice in which the coordinating compound is entrapped. Chemical bonds are not involved in these complexes, and only the molecular size of the encaged component is of importance. The stability of a clathrate is due to the strength of the structure, that is, to the high energy that must be expended to decompose the compound.</w:t>
      </w:r>
    </w:p>
    <w:p>
      <w:pPr>
        <w:pStyle w:val="BodyText"/>
        <w:ind w:right="395" w:firstLine="708"/>
        <w:jc w:val="both"/>
      </w:pPr>
      <w:r>
        <w:rPr>
          <w:color w:val="333333"/>
        </w:rPr>
        <w:t>Powell and Palin made a detailed study of clathrate compounds and showed that the highly toxic agent hydroquinone (quinol) crystallizes in</w:t>
      </w:r>
      <w:r>
        <w:rPr>
          <w:color w:val="333333"/>
          <w:spacing w:val="-27"/>
        </w:rPr>
        <w:t> </w:t>
      </w:r>
      <w:r>
        <w:rPr>
          <w:color w:val="333333"/>
        </w:rPr>
        <w:t>a cage like hydrogen-bonded structure, as seen in Figure</w:t>
      </w:r>
      <w:r>
        <w:rPr>
          <w:color w:val="333333"/>
          <w:spacing w:val="-14"/>
        </w:rPr>
        <w:t> </w:t>
      </w:r>
      <w:r>
        <w:rPr>
          <w:color w:val="333333"/>
        </w:rPr>
        <w:t>10-4.</w:t>
      </w:r>
    </w:p>
    <w:p>
      <w:pPr>
        <w:pStyle w:val="BodyText"/>
        <w:ind w:right="388" w:firstLine="708"/>
        <w:jc w:val="both"/>
      </w:pPr>
      <w:r>
        <w:rPr>
          <w:color w:val="333333"/>
        </w:rPr>
        <w:t>The holes have a diameter of 4.2 Å and permit the entrapment of one small molecule to about every two quinol molecules. Small molecules such as methyl alcohol, </w:t>
      </w:r>
      <w:r>
        <w:rPr>
          <w:color w:val="333333"/>
          <w:spacing w:val="3"/>
        </w:rPr>
        <w:t>CO</w:t>
      </w:r>
      <w:r>
        <w:rPr>
          <w:color w:val="333333"/>
          <w:spacing w:val="3"/>
          <w:position w:val="-2"/>
          <w:sz w:val="21"/>
        </w:rPr>
        <w:t>2</w:t>
      </w:r>
      <w:r>
        <w:rPr>
          <w:color w:val="333333"/>
          <w:spacing w:val="3"/>
        </w:rPr>
        <w:t>, </w:t>
      </w:r>
      <w:r>
        <w:rPr>
          <w:color w:val="333333"/>
        </w:rPr>
        <w:t>and HCl may be trapped in these cages, but smaller molecules such as </w:t>
      </w:r>
      <w:r>
        <w:rPr>
          <w:color w:val="333333"/>
          <w:spacing w:val="2"/>
        </w:rPr>
        <w:t>H</w:t>
      </w:r>
      <w:r>
        <w:rPr>
          <w:color w:val="333333"/>
          <w:spacing w:val="2"/>
          <w:position w:val="-2"/>
          <w:sz w:val="21"/>
        </w:rPr>
        <w:t>2</w:t>
      </w:r>
      <w:r>
        <w:rPr>
          <w:color w:val="333333"/>
          <w:spacing w:val="2"/>
        </w:rPr>
        <w:t>and </w:t>
      </w:r>
      <w:r>
        <w:rPr>
          <w:color w:val="333333"/>
          <w:spacing w:val="-2"/>
        </w:rPr>
        <w:t>larger </w:t>
      </w:r>
      <w:r>
        <w:rPr>
          <w:color w:val="333333"/>
        </w:rPr>
        <w:t>molecules such as ethanol cannot be</w:t>
      </w:r>
      <w:r>
        <w:rPr>
          <w:color w:val="333333"/>
          <w:spacing w:val="-3"/>
        </w:rPr>
        <w:t> </w:t>
      </w:r>
      <w:r>
        <w:rPr>
          <w:color w:val="333333"/>
        </w:rPr>
        <w:t>accommodated.</w:t>
      </w:r>
    </w:p>
    <w:p>
      <w:pPr>
        <w:pStyle w:val="BodyText"/>
        <w:spacing w:line="20" w:lineRule="exact"/>
        <w:ind w:left="1490"/>
        <w:rPr>
          <w:sz w:val="2"/>
        </w:rPr>
      </w:pPr>
      <w:r>
        <w:rPr>
          <w:sz w:val="2"/>
        </w:rPr>
        <w:pict>
          <v:group style="width:440.1pt;height:.8pt;mso-position-horizontal-relative:char;mso-position-vertical-relative:line" coordorigin="0,0" coordsize="8802,16">
            <v:line style="position:absolute" from="0,8" to="8802,8" stroked="true" strokeweight=".8pt" strokecolor="#dfdfdf">
              <v:stroke dashstyle="solid"/>
            </v:line>
          </v:group>
        </w:pict>
      </w:r>
      <w:r>
        <w:rPr>
          <w:sz w:val="2"/>
        </w:rPr>
      </w:r>
    </w:p>
    <w:p>
      <w:pPr>
        <w:pStyle w:val="BodyText"/>
        <w:spacing w:before="10"/>
        <w:ind w:left="0"/>
        <w:rPr>
          <w:sz w:val="15"/>
        </w:rPr>
      </w:pPr>
      <w:r>
        <w:rPr/>
        <w:drawing>
          <wp:anchor distT="0" distB="0" distL="0" distR="0" allowOverlap="1" layoutInCell="1" locked="0" behindDoc="0" simplePos="0" relativeHeight="18">
            <wp:simplePos x="0" y="0"/>
            <wp:positionH relativeFrom="page">
              <wp:posOffset>1276350</wp:posOffset>
            </wp:positionH>
            <wp:positionV relativeFrom="paragraph">
              <wp:posOffset>140970</wp:posOffset>
            </wp:positionV>
            <wp:extent cx="2947094" cy="2971419"/>
            <wp:effectExtent l="0" t="0" r="0" b="0"/>
            <wp:wrapTopAndBottom/>
            <wp:docPr id="19" name="image15.jpeg"/>
            <wp:cNvGraphicFramePr>
              <a:graphicFrameLocks noChangeAspect="1"/>
            </wp:cNvGraphicFramePr>
            <a:graphic>
              <a:graphicData uri="http://schemas.openxmlformats.org/drawingml/2006/picture">
                <pic:pic>
                  <pic:nvPicPr>
                    <pic:cNvPr id="20" name="image15.jpeg"/>
                    <pic:cNvPicPr/>
                  </pic:nvPicPr>
                  <pic:blipFill>
                    <a:blip r:embed="rId20" cstate="print"/>
                    <a:stretch>
                      <a:fillRect/>
                    </a:stretch>
                  </pic:blipFill>
                  <pic:spPr>
                    <a:xfrm>
                      <a:off x="0" y="0"/>
                      <a:ext cx="2947094" cy="2971419"/>
                    </a:xfrm>
                    <a:prstGeom prst="rect">
                      <a:avLst/>
                    </a:prstGeom>
                  </pic:spPr>
                </pic:pic>
              </a:graphicData>
            </a:graphic>
          </wp:anchor>
        </w:drawing>
      </w:r>
      <w:r>
        <w:rPr/>
        <w:pict>
          <v:shape style="position:absolute;margin-left:89.300003pt;margin-top:255pt;width:439.3pt;height:64.6pt;mso-position-horizontal-relative:page;mso-position-vertical-relative:paragraph;z-index:-251638784;mso-wrap-distance-left:0;mso-wrap-distance-right:0" type="#_x0000_t202" filled="true" fillcolor="#f0f0f0" stroked="true" strokeweight=".8pt" strokecolor="#dfdfdf">
            <v:textbox inset="0,0,0,0">
              <w:txbxContent>
                <w:p>
                  <w:pPr>
                    <w:spacing w:before="224"/>
                    <w:ind w:left="218" w:right="252" w:firstLine="0"/>
                    <w:jc w:val="both"/>
                    <w:rPr>
                      <w:b/>
                      <w:sz w:val="24"/>
                    </w:rPr>
                  </w:pPr>
                  <w:r>
                    <w:rPr>
                      <w:b/>
                      <w:sz w:val="24"/>
                    </w:rPr>
                    <w:t>Fig. 10-4. Cagelike structure formed through hydrogen bonding of</w:t>
                  </w:r>
                  <w:r>
                    <w:rPr>
                      <w:b/>
                      <w:spacing w:val="-40"/>
                      <w:sz w:val="24"/>
                    </w:rPr>
                    <w:t> </w:t>
                  </w:r>
                  <w:r>
                    <w:rPr>
                      <w:b/>
                      <w:sz w:val="24"/>
                    </w:rPr>
                    <w:t>hydroquinone molecules. Small molecules such as methanol are trapped in the cages to form</w:t>
                  </w:r>
                  <w:r>
                    <w:rPr>
                      <w:b/>
                      <w:spacing w:val="-31"/>
                      <w:sz w:val="24"/>
                    </w:rPr>
                    <w:t> </w:t>
                  </w:r>
                  <w:r>
                    <w:rPr>
                      <w:b/>
                      <w:sz w:val="24"/>
                    </w:rPr>
                    <w:t>the clathrate</w:t>
                  </w:r>
                </w:p>
              </w:txbxContent>
            </v:textbox>
            <v:fill type="solid"/>
            <v:stroke dashstyle="solid"/>
            <w10:wrap type="topAndBottom"/>
          </v:shape>
        </w:pict>
      </w:r>
    </w:p>
    <w:p>
      <w:pPr>
        <w:pStyle w:val="BodyText"/>
        <w:spacing w:before="7"/>
        <w:ind w:left="0"/>
        <w:rPr>
          <w:sz w:val="10"/>
        </w:rPr>
      </w:pPr>
    </w:p>
    <w:p>
      <w:pPr>
        <w:spacing w:after="0"/>
        <w:rPr>
          <w:sz w:val="10"/>
        </w:rPr>
        <w:sectPr>
          <w:pgSz w:w="11900" w:h="16840"/>
          <w:pgMar w:header="0" w:footer="999" w:top="1380" w:bottom="1180" w:left="280" w:right="220"/>
        </w:sectPr>
      </w:pPr>
    </w:p>
    <w:p>
      <w:pPr>
        <w:pStyle w:val="Heading2"/>
        <w:rPr>
          <w:i/>
          <w:u w:val="none"/>
        </w:rPr>
      </w:pPr>
      <w:r>
        <w:rPr>
          <w:i/>
          <w:color w:val="FF0000"/>
          <w:shd w:fill="BFBFBF" w:color="auto" w:val="clear"/>
          <w:u w:val="none"/>
        </w:rPr>
        <w:t>Monomolecular Inclusion Compounds: Cyclodextrins</w:t>
      </w:r>
    </w:p>
    <w:p>
      <w:pPr>
        <w:pStyle w:val="BodyText"/>
        <w:ind w:right="847" w:firstLine="1134"/>
      </w:pPr>
      <w:r>
        <w:rPr>
          <w:color w:val="333333"/>
        </w:rPr>
        <w:t>Monomolecular inclusion compounds involve the entrapment of a single guest molecule in the cavity of one host molecule.</w:t>
      </w:r>
    </w:p>
    <w:p>
      <w:pPr>
        <w:pStyle w:val="BodyText"/>
        <w:ind w:right="745"/>
      </w:pPr>
      <w:r>
        <w:rPr>
          <w:color w:val="333333"/>
        </w:rPr>
        <w:t>Monomolecular host structures are represented by the </w:t>
      </w:r>
      <w:r>
        <w:rPr>
          <w:color w:val="FF0000"/>
          <w:u w:val="single" w:color="FF0000"/>
        </w:rPr>
        <w:t>cyclodextrins</w:t>
      </w:r>
      <w:r>
        <w:rPr>
          <w:color w:val="FF0000"/>
        </w:rPr>
        <w:t> </w:t>
      </w:r>
      <w:r>
        <w:rPr>
          <w:color w:val="333333"/>
        </w:rPr>
        <w:t>(CD). These compounds are cyclic oligosaccharides containing a minimum of six D-(+)-</w:t>
      </w:r>
      <w:r>
        <w:rPr>
          <w:color w:val="FF0000"/>
          <w:u w:val="single" w:color="FF0000"/>
        </w:rPr>
        <w:t>glucopyranose</w:t>
      </w:r>
      <w:r>
        <w:rPr>
          <w:color w:val="FF0000"/>
        </w:rPr>
        <w:t> </w:t>
      </w:r>
      <w:r>
        <w:rPr>
          <w:color w:val="333333"/>
        </w:rPr>
        <w:t>units attached by α-1,4 linkages. The natural α-, β-, and γ-cyclodextrins (α-CD, β-CD, and γ-CD, respectively) consist of six, seven, and eight units of glucose, respectively.</w:t>
      </w:r>
    </w:p>
    <w:p>
      <w:pPr>
        <w:pStyle w:val="BodyText"/>
        <w:ind w:right="636" w:firstLine="708"/>
        <w:jc w:val="both"/>
      </w:pPr>
      <w:r>
        <w:rPr>
          <w:color w:val="333333"/>
        </w:rPr>
        <w:t>The cyclodextrin structure exists as a </w:t>
      </w:r>
      <w:r>
        <w:rPr>
          <w:color w:val="FF0000"/>
          <w:shd w:fill="00FFFF" w:color="auto" w:val="clear"/>
          <w:u w:val="single" w:color="FF0000"/>
        </w:rPr>
        <w:t>truncated cone</w:t>
      </w:r>
      <w:r>
        <w:rPr>
          <w:color w:val="333333"/>
        </w:rPr>
        <w:t>, which is seen in Figure 10-5</w:t>
      </w:r>
      <w:r>
        <w:rPr>
          <w:b/>
          <w:i/>
          <w:color w:val="333333"/>
        </w:rPr>
        <w:t>a</w:t>
      </w:r>
      <w:r>
        <w:rPr>
          <w:color w:val="333333"/>
        </w:rPr>
        <w:t>; it can accommodate molecules such as mitomycin C to form inclusion compounds (Fig. 10-5</w:t>
      </w:r>
      <w:r>
        <w:rPr>
          <w:b/>
          <w:i/>
          <w:color w:val="333333"/>
        </w:rPr>
        <w:t>b</w:t>
      </w:r>
      <w:r>
        <w:rPr>
          <w:color w:val="333333"/>
        </w:rPr>
        <w:t>).</w:t>
      </w:r>
    </w:p>
    <w:p>
      <w:pPr>
        <w:pStyle w:val="BodyText"/>
        <w:ind w:right="874" w:firstLine="708"/>
        <w:jc w:val="both"/>
      </w:pPr>
      <w:r>
        <w:rPr>
          <w:color w:val="1E487C"/>
          <w:shd w:fill="BFBFBF" w:color="auto" w:val="clear"/>
        </w:rPr>
        <w:t>The interior of the cavity is relatively hydrophobic because of</w:t>
      </w:r>
      <w:r>
        <w:rPr>
          <w:color w:val="1E487C"/>
          <w:spacing w:val="-38"/>
          <w:shd w:fill="BFBFBF" w:color="auto" w:val="clear"/>
        </w:rPr>
        <w:t> </w:t>
      </w:r>
      <w:r>
        <w:rPr>
          <w:color w:val="1E487C"/>
          <w:shd w:fill="BFBFBF" w:color="auto" w:val="clear"/>
        </w:rPr>
        <w:t>the</w:t>
      </w:r>
      <w:r>
        <w:rPr>
          <w:color w:val="1E487C"/>
        </w:rPr>
        <w:t> </w:t>
      </w:r>
      <w:r>
        <w:rPr>
          <w:color w:val="1E487C"/>
          <w:shd w:fill="BFBFBF" w:color="auto" w:val="clear"/>
        </w:rPr>
        <w:t>CH</w:t>
      </w:r>
      <w:r>
        <w:rPr>
          <w:color w:val="1E487C"/>
          <w:position w:val="-2"/>
          <w:sz w:val="21"/>
          <w:shd w:fill="BFBFBF" w:color="auto" w:val="clear"/>
        </w:rPr>
        <w:t>2</w:t>
      </w:r>
      <w:r>
        <w:rPr>
          <w:color w:val="1E487C"/>
          <w:position w:val="-2"/>
          <w:sz w:val="21"/>
        </w:rPr>
        <w:t> </w:t>
      </w:r>
      <w:r>
        <w:rPr>
          <w:color w:val="1E487C"/>
          <w:shd w:fill="BFBFBF" w:color="auto" w:val="clear"/>
        </w:rPr>
        <w:t>groups, whereas the cavity entrances are hydrophilic owing to the</w:t>
      </w:r>
      <w:r>
        <w:rPr>
          <w:color w:val="1E487C"/>
        </w:rPr>
        <w:t> </w:t>
      </w:r>
      <w:r>
        <w:rPr>
          <w:color w:val="1E487C"/>
          <w:shd w:fill="BFBFBF" w:color="auto" w:val="clear"/>
        </w:rPr>
        <w:t>presence of the primary and secondary hydroxyl</w:t>
      </w:r>
      <w:r>
        <w:rPr>
          <w:color w:val="1E487C"/>
          <w:spacing w:val="-6"/>
          <w:shd w:fill="BFBFBF" w:color="auto" w:val="clear"/>
        </w:rPr>
        <w:t> </w:t>
      </w:r>
      <w:r>
        <w:rPr>
          <w:color w:val="1E487C"/>
          <w:shd w:fill="BFBFBF" w:color="auto" w:val="clear"/>
        </w:rPr>
        <w:t>groups.</w:t>
      </w:r>
    </w:p>
    <w:p>
      <w:pPr>
        <w:pStyle w:val="BodyText"/>
        <w:ind w:right="316" w:firstLine="708"/>
      </w:pPr>
      <w:r>
        <w:rPr>
          <w:color w:val="1E487C"/>
          <w:shd w:fill="BFBFBF" w:color="auto" w:val="clear"/>
        </w:rPr>
        <w:t>α-CD has the smallest cavity (internal diameter almost 5 Å). β-CD</w:t>
      </w:r>
      <w:r>
        <w:rPr>
          <w:color w:val="1E487C"/>
        </w:rPr>
        <w:t> </w:t>
      </w:r>
      <w:r>
        <w:rPr>
          <w:color w:val="1E487C"/>
          <w:shd w:fill="BFBFBF" w:color="auto" w:val="clear"/>
        </w:rPr>
        <w:t>and γ-CD are the most useful for pharmaceutical technology owing to</w:t>
      </w:r>
      <w:r>
        <w:rPr>
          <w:color w:val="1E487C"/>
        </w:rPr>
        <w:t> </w:t>
      </w:r>
      <w:r>
        <w:rPr>
          <w:color w:val="1E487C"/>
          <w:shd w:fill="BFBFBF" w:color="auto" w:val="clear"/>
        </w:rPr>
        <w:t>their larger cavity size (internal diameter almost 6 Å and 8 Å,</w:t>
      </w:r>
      <w:r>
        <w:rPr>
          <w:color w:val="1E487C"/>
        </w:rPr>
        <w:t> </w:t>
      </w:r>
      <w:r>
        <w:rPr>
          <w:color w:val="1E487C"/>
          <w:shd w:fill="BFBFBF" w:color="auto" w:val="clear"/>
        </w:rPr>
        <w:t>respectively).</w:t>
      </w:r>
    </w:p>
    <w:p>
      <w:pPr>
        <w:pStyle w:val="BodyText"/>
        <w:spacing w:after="3"/>
        <w:ind w:right="627" w:firstLine="708"/>
      </w:pPr>
      <w:r>
        <w:rPr>
          <w:color w:val="933533"/>
          <w:shd w:fill="FFFF00" w:color="auto" w:val="clear"/>
        </w:rPr>
        <w:t>Water inside the cavity tends to be squeezed out and to be replaced</w:t>
      </w:r>
      <w:r>
        <w:rPr>
          <w:color w:val="933533"/>
        </w:rPr>
        <w:t> </w:t>
      </w:r>
      <w:r>
        <w:rPr>
          <w:color w:val="933533"/>
          <w:shd w:fill="FFFF00" w:color="auto" w:val="clear"/>
        </w:rPr>
        <w:t>by more hydrophobic species. Thus, molecules of appropriate size and</w:t>
      </w:r>
      <w:r>
        <w:rPr>
          <w:color w:val="933533"/>
        </w:rPr>
        <w:t> </w:t>
      </w:r>
      <w:r>
        <w:rPr>
          <w:color w:val="933533"/>
          <w:shd w:fill="FFFF00" w:color="auto" w:val="clear"/>
        </w:rPr>
        <w:t>stereochemistry can be included in the cyclodextrin cavity by</w:t>
      </w:r>
      <w:r>
        <w:rPr>
          <w:color w:val="933533"/>
        </w:rPr>
        <w:t> </w:t>
      </w:r>
      <w:r>
        <w:rPr>
          <w:color w:val="933533"/>
          <w:shd w:fill="FFFF00" w:color="auto" w:val="clear"/>
        </w:rPr>
        <w:t>hydrophobic interactions. Complexation does not ordinarily involve the</w:t>
      </w:r>
      <w:r>
        <w:rPr>
          <w:color w:val="933533"/>
        </w:rPr>
        <w:t> </w:t>
      </w:r>
      <w:r>
        <w:rPr>
          <w:color w:val="933533"/>
          <w:shd w:fill="FFFF00" w:color="auto" w:val="clear"/>
        </w:rPr>
        <w:t>formation of covalent bonds. Some drugs may be too large to be</w:t>
      </w:r>
      <w:r>
        <w:rPr>
          <w:color w:val="933533"/>
        </w:rPr>
        <w:t> </w:t>
      </w:r>
      <w:r>
        <w:rPr>
          <w:color w:val="933533"/>
          <w:shd w:fill="FFFF00" w:color="auto" w:val="clear"/>
        </w:rPr>
        <w:t>accommodated totally in the cavity. As shown in Figure 10-5</w:t>
      </w:r>
      <w:r>
        <w:rPr>
          <w:b/>
          <w:i/>
          <w:color w:val="933533"/>
          <w:shd w:fill="FFFF00" w:color="auto" w:val="clear"/>
        </w:rPr>
        <w:t>b</w:t>
      </w:r>
      <w:r>
        <w:rPr>
          <w:color w:val="933533"/>
          <w:shd w:fill="FFFF00" w:color="auto" w:val="clear"/>
        </w:rPr>
        <w:t>,</w:t>
      </w:r>
      <w:r>
        <w:rPr>
          <w:color w:val="933533"/>
        </w:rPr>
        <w:t> </w:t>
      </w:r>
      <w:r>
        <w:rPr>
          <w:color w:val="933533"/>
          <w:shd w:fill="FFFF00" w:color="auto" w:val="clear"/>
        </w:rPr>
        <w:t>mitomycin C interacts with γ-CD at one side of the torus. Thus, the</w:t>
      </w:r>
      <w:r>
        <w:rPr>
          <w:color w:val="933533"/>
        </w:rPr>
        <w:t> </w:t>
      </w:r>
      <w:r>
        <w:rPr>
          <w:color w:val="933533"/>
          <w:shd w:fill="FFFF00" w:color="auto" w:val="clear"/>
        </w:rPr>
        <w:t>aziridine ring of mitomycin C is protected from degradation in acidic</w:t>
      </w:r>
      <w:r>
        <w:rPr>
          <w:color w:val="933533"/>
        </w:rPr>
        <w:t> </w:t>
      </w:r>
      <w:r>
        <w:rPr>
          <w:color w:val="933533"/>
          <w:shd w:fill="FFFF00" w:color="auto" w:val="clear"/>
        </w:rPr>
        <w:t>solution.</w:t>
      </w:r>
    </w:p>
    <w:p>
      <w:pPr>
        <w:tabs>
          <w:tab w:pos="4250" w:val="left" w:leader="none"/>
        </w:tabs>
        <w:spacing w:line="240" w:lineRule="auto"/>
        <w:ind w:left="1999" w:right="0" w:firstLine="0"/>
        <w:rPr>
          <w:sz w:val="20"/>
        </w:rPr>
      </w:pPr>
      <w:r>
        <w:rPr>
          <w:sz w:val="20"/>
        </w:rPr>
        <w:drawing>
          <wp:inline distT="0" distB="0" distL="0" distR="0">
            <wp:extent cx="1293875" cy="1213580"/>
            <wp:effectExtent l="0" t="0" r="0" b="0"/>
            <wp:docPr id="21" name="image16.jpeg"/>
            <wp:cNvGraphicFramePr>
              <a:graphicFrameLocks noChangeAspect="1"/>
            </wp:cNvGraphicFramePr>
            <a:graphic>
              <a:graphicData uri="http://schemas.openxmlformats.org/drawingml/2006/picture">
                <pic:pic>
                  <pic:nvPicPr>
                    <pic:cNvPr id="22" name="image16.jpeg"/>
                    <pic:cNvPicPr/>
                  </pic:nvPicPr>
                  <pic:blipFill>
                    <a:blip r:embed="rId22" cstate="print"/>
                    <a:stretch>
                      <a:fillRect/>
                    </a:stretch>
                  </pic:blipFill>
                  <pic:spPr>
                    <a:xfrm>
                      <a:off x="0" y="0"/>
                      <a:ext cx="1293875" cy="1213580"/>
                    </a:xfrm>
                    <a:prstGeom prst="rect">
                      <a:avLst/>
                    </a:prstGeom>
                  </pic:spPr>
                </pic:pic>
              </a:graphicData>
            </a:graphic>
          </wp:inline>
        </w:drawing>
      </w:r>
      <w:r>
        <w:rPr>
          <w:sz w:val="20"/>
        </w:rPr>
      </w:r>
      <w:r>
        <w:rPr>
          <w:sz w:val="20"/>
        </w:rPr>
        <w:tab/>
      </w:r>
      <w:r>
        <w:rPr>
          <w:position w:val="9"/>
          <w:sz w:val="20"/>
        </w:rPr>
        <w:drawing>
          <wp:inline distT="0" distB="0" distL="0" distR="0">
            <wp:extent cx="1975088" cy="1274064"/>
            <wp:effectExtent l="0" t="0" r="0" b="0"/>
            <wp:docPr id="23" name="image17.jpeg"/>
            <wp:cNvGraphicFramePr>
              <a:graphicFrameLocks noChangeAspect="1"/>
            </wp:cNvGraphicFramePr>
            <a:graphic>
              <a:graphicData uri="http://schemas.openxmlformats.org/drawingml/2006/picture">
                <pic:pic>
                  <pic:nvPicPr>
                    <pic:cNvPr id="24" name="image17.jpeg"/>
                    <pic:cNvPicPr/>
                  </pic:nvPicPr>
                  <pic:blipFill>
                    <a:blip r:embed="rId23" cstate="print"/>
                    <a:stretch>
                      <a:fillRect/>
                    </a:stretch>
                  </pic:blipFill>
                  <pic:spPr>
                    <a:xfrm>
                      <a:off x="0" y="0"/>
                      <a:ext cx="1975088" cy="1274064"/>
                    </a:xfrm>
                    <a:prstGeom prst="rect">
                      <a:avLst/>
                    </a:prstGeom>
                  </pic:spPr>
                </pic:pic>
              </a:graphicData>
            </a:graphic>
          </wp:inline>
        </w:drawing>
      </w:r>
      <w:r>
        <w:rPr>
          <w:position w:val="9"/>
          <w:sz w:val="20"/>
        </w:rPr>
      </w:r>
    </w:p>
    <w:p>
      <w:pPr>
        <w:spacing w:after="0" w:line="240" w:lineRule="auto"/>
        <w:rPr>
          <w:sz w:val="20"/>
        </w:rPr>
        <w:sectPr>
          <w:footerReference w:type="default" r:id="rId21"/>
          <w:pgSz w:w="11900" w:h="16840"/>
          <w:pgMar w:footer="999" w:header="0" w:top="1380" w:bottom="1180" w:left="280" w:right="220"/>
          <w:pgNumType w:start="10"/>
        </w:sectPr>
      </w:pPr>
    </w:p>
    <w:p>
      <w:pPr>
        <w:spacing w:before="60"/>
        <w:ind w:left="530" w:right="385" w:firstLine="0"/>
        <w:jc w:val="both"/>
        <w:rPr>
          <w:sz w:val="28"/>
        </w:rPr>
      </w:pPr>
      <w:r>
        <w:rPr>
          <w:b/>
          <w:sz w:val="28"/>
        </w:rPr>
        <w:t>Fig. 10-5. </w:t>
      </w:r>
      <w:r>
        <w:rPr>
          <w:sz w:val="28"/>
        </w:rPr>
        <w:t>(</w:t>
      </w:r>
      <w:r>
        <w:rPr>
          <w:i/>
          <w:sz w:val="28"/>
        </w:rPr>
        <w:t>a</w:t>
      </w:r>
      <w:r>
        <w:rPr>
          <w:sz w:val="28"/>
        </w:rPr>
        <w:t>) Representation of cyclodextrin as a truncated cone. (</w:t>
      </w:r>
      <w:r>
        <w:rPr>
          <w:i/>
          <w:sz w:val="28"/>
        </w:rPr>
        <w:t>b</w:t>
      </w:r>
      <w:r>
        <w:rPr>
          <w:sz w:val="28"/>
        </w:rPr>
        <w:t>) Mitomycin C partly enclosed in cyclodextrin to form an inclusion complex.</w:t>
      </w:r>
    </w:p>
    <w:p>
      <w:pPr>
        <w:pStyle w:val="BodyText"/>
        <w:spacing w:line="276" w:lineRule="auto"/>
        <w:ind w:right="384" w:firstLine="1134"/>
        <w:jc w:val="both"/>
      </w:pPr>
      <w:r>
        <w:rPr>
          <w:color w:val="FF0000"/>
          <w:shd w:fill="BFBFBF" w:color="auto" w:val="clear"/>
        </w:rPr>
        <w:t>Cyclodextrins are studied as solubilizing and stabilizing agents in</w:t>
      </w:r>
      <w:r>
        <w:rPr>
          <w:color w:val="FF0000"/>
        </w:rPr>
        <w:t> </w:t>
      </w:r>
      <w:r>
        <w:rPr>
          <w:color w:val="FF0000"/>
          <w:shd w:fill="BFBFBF" w:color="auto" w:val="clear"/>
        </w:rPr>
        <w:t>pharmaceutical dosage forms. and used to trap, stabilize, and solubilize</w:t>
      </w:r>
      <w:r>
        <w:rPr>
          <w:color w:val="FF0000"/>
        </w:rPr>
        <w:t> </w:t>
      </w:r>
      <w:r>
        <w:rPr>
          <w:color w:val="FF0000"/>
          <w:shd w:fill="BFBFBF" w:color="auto" w:val="clear"/>
        </w:rPr>
        <w:t>sulfonamides, tetracyclines, morphine, aspirin, benzocaine, ephedrine,</w:t>
      </w:r>
      <w:r>
        <w:rPr>
          <w:color w:val="FF0000"/>
        </w:rPr>
        <w:t> </w:t>
      </w:r>
      <w:r>
        <w:rPr>
          <w:color w:val="FF0000"/>
          <w:shd w:fill="BFBFBF" w:color="auto" w:val="clear"/>
        </w:rPr>
        <w:t>reserpine, and testosterone. The aqueous solubility of retinoic acid (0.5</w:t>
      </w:r>
      <w:r>
        <w:rPr>
          <w:color w:val="FF0000"/>
        </w:rPr>
        <w:t> </w:t>
      </w:r>
      <w:r>
        <w:rPr>
          <w:color w:val="FF0000"/>
          <w:shd w:fill="BFBFBF" w:color="auto" w:val="clear"/>
        </w:rPr>
        <w:t>mg/liter), a drug used topically in the treatment of acne , is increased to</w:t>
      </w:r>
      <w:r>
        <w:rPr>
          <w:color w:val="FF0000"/>
        </w:rPr>
        <w:t> </w:t>
      </w:r>
      <w:r>
        <w:rPr>
          <w:color w:val="FF0000"/>
          <w:shd w:fill="BFBFBF" w:color="auto" w:val="clear"/>
        </w:rPr>
        <w:t>160 mg/liter by complexation with β-CD. Dissolution rate plays an</w:t>
      </w:r>
      <w:r>
        <w:rPr>
          <w:color w:val="FF0000"/>
        </w:rPr>
        <w:t> </w:t>
      </w:r>
      <w:r>
        <w:rPr>
          <w:color w:val="FF0000"/>
          <w:shd w:fill="BFBFBF" w:color="auto" w:val="clear"/>
        </w:rPr>
        <w:t>important role in bioavailability of drugs, fast dissolution usually</w:t>
      </w:r>
      <w:r>
        <w:rPr>
          <w:color w:val="FF0000"/>
        </w:rPr>
        <w:t> </w:t>
      </w:r>
      <w:r>
        <w:rPr>
          <w:color w:val="FF0000"/>
          <w:shd w:fill="BFBFBF" w:color="auto" w:val="clear"/>
        </w:rPr>
        <w:t>favoring absorption. Thus, the dissolution rates of famotidine,a potent</w:t>
      </w:r>
      <w:r>
        <w:rPr>
          <w:color w:val="FF0000"/>
        </w:rPr>
        <w:t> </w:t>
      </w:r>
      <w:r>
        <w:rPr>
          <w:color w:val="FF0000"/>
          <w:shd w:fill="BFBFBF" w:color="auto" w:val="clear"/>
        </w:rPr>
        <w:t>drug in the treatment of gastric and duodenal ulcers, and that of</w:t>
      </w:r>
      <w:r>
        <w:rPr>
          <w:color w:val="FF0000"/>
        </w:rPr>
        <w:t> </w:t>
      </w:r>
      <w:r>
        <w:rPr>
          <w:color w:val="FF0000"/>
          <w:shd w:fill="BFBFBF" w:color="auto" w:val="clear"/>
        </w:rPr>
        <w:t>tolbutamide, an oral antidiabetic drug, are both increased by</w:t>
      </w:r>
      <w:r>
        <w:rPr>
          <w:color w:val="FF0000"/>
        </w:rPr>
        <w:t> </w:t>
      </w:r>
      <w:r>
        <w:rPr>
          <w:color w:val="FF0000"/>
          <w:shd w:fill="BFBFBF" w:color="auto" w:val="clear"/>
        </w:rPr>
        <w:t>complexation with</w:t>
      </w:r>
      <w:r>
        <w:rPr>
          <w:color w:val="FF0000"/>
          <w:spacing w:val="-2"/>
          <w:shd w:fill="BFBFBF" w:color="auto" w:val="clear"/>
        </w:rPr>
        <w:t> </w:t>
      </w:r>
      <w:r>
        <w:rPr>
          <w:color w:val="FF0000"/>
          <w:shd w:fill="BFBFBF" w:color="auto" w:val="clear"/>
        </w:rPr>
        <w:t>β-cyclodextrin.</w:t>
      </w:r>
    </w:p>
    <w:p>
      <w:pPr>
        <w:pStyle w:val="Heading2"/>
        <w:spacing w:before="199"/>
        <w:jc w:val="both"/>
        <w:rPr>
          <w:i/>
          <w:u w:val="none"/>
        </w:rPr>
      </w:pPr>
      <w:r>
        <w:rPr>
          <w:i/>
          <w:color w:val="FF0000"/>
          <w:shd w:fill="BFBFBF" w:color="auto" w:val="clear"/>
          <w:u w:val="single" w:color="FF0000"/>
        </w:rPr>
        <w:t>Molecular Sieves</w:t>
      </w:r>
    </w:p>
    <w:p>
      <w:pPr>
        <w:pStyle w:val="BodyText"/>
        <w:ind w:right="378" w:firstLine="1134"/>
        <w:jc w:val="both"/>
      </w:pPr>
      <w:r>
        <w:rPr>
          <w:color w:val="333333"/>
        </w:rPr>
        <w:t>Macromolecular inclusion compounds, or </w:t>
      </w:r>
      <w:r>
        <w:rPr>
          <w:i/>
          <w:color w:val="333333"/>
        </w:rPr>
        <w:t>molecular sieves </w:t>
      </w:r>
      <w:r>
        <w:rPr>
          <w:color w:val="333333"/>
        </w:rPr>
        <w:t>as they are commonly called, include zeolites, dextrins, silica gels, and related substances. The atoms are arranged in three dimensions to produce cages and channels. Synthetic zeolites may be made to a definite pore size so as to separate molecules of different dimensions, and they are also capable of ion</w:t>
      </w:r>
      <w:r>
        <w:rPr>
          <w:color w:val="333333"/>
          <w:spacing w:val="-6"/>
        </w:rPr>
        <w:t> </w:t>
      </w:r>
      <w:r>
        <w:rPr>
          <w:color w:val="333333"/>
        </w:rPr>
        <w:t>exchange.</w:t>
      </w:r>
    </w:p>
    <w:sectPr>
      <w:pgSz w:w="11900" w:h="16840"/>
      <w:pgMar w:header="0" w:footer="999" w:top="1380" w:bottom="1180" w:left="280" w:right="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293pt;margin-top:781.049988pt;width:9.6pt;height:13pt;mso-position-horizontal-relative:page;mso-position-vertical-relative:page;z-index:-251942912" type="#_x0000_t202" filled="false" stroked="false">
          <v:textbox inset="0,0,0,0">
            <w:txbxContent>
              <w:p>
                <w:pPr>
                  <w:spacing w:line="244" w:lineRule="exact" w:before="0"/>
                  <w:ind w:left="40" w:right="0" w:firstLine="0"/>
                  <w:jc w:val="left"/>
                  <w:rPr>
                    <w:rFonts w:ascii="Calibri"/>
                    <w:sz w:val="22"/>
                  </w:rPr>
                </w:pPr>
                <w:r>
                  <w:rPr/>
                  <w:fldChar w:fldCharType="begin"/>
                </w:r>
                <w:r>
                  <w:rPr>
                    <w:rFonts w:ascii="Calibri"/>
                    <w:sz w:val="22"/>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90.200012pt;margin-top:781.049988pt;width:15.2pt;height:13pt;mso-position-horizontal-relative:page;mso-position-vertical-relative:page;z-index:-251941888" type="#_x0000_t202" filled="false" stroked="false">
          <v:textbox inset="0,0,0,0">
            <w:txbxContent>
              <w:p>
                <w:pPr>
                  <w:spacing w:line="244" w:lineRule="exact" w:before="0"/>
                  <w:ind w:left="40" w:right="0" w:firstLine="0"/>
                  <w:jc w:val="left"/>
                  <w:rPr>
                    <w:rFonts w:ascii="Calibri"/>
                    <w:sz w:val="22"/>
                  </w:rPr>
                </w:pPr>
                <w:r>
                  <w:rPr/>
                  <w:fldChar w:fldCharType="begin"/>
                </w:r>
                <w:r>
                  <w:rPr>
                    <w:rFonts w:ascii="Calibri"/>
                    <w:sz w:val="22"/>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096" w:hanging="786"/>
      </w:pPr>
      <w:rPr>
        <w:rFonts w:hint="default" w:ascii="Symbol" w:hAnsi="Symbol" w:eastAsia="Symbol" w:cs="Symbol"/>
        <w:w w:val="89"/>
        <w:sz w:val="36"/>
        <w:szCs w:val="36"/>
        <w:lang w:val="en-US" w:eastAsia="en-US" w:bidi="en-US"/>
      </w:rPr>
    </w:lvl>
    <w:lvl w:ilvl="1">
      <w:start w:val="0"/>
      <w:numFmt w:val="bullet"/>
      <w:lvlText w:val="•"/>
      <w:lvlJc w:val="left"/>
      <w:pPr>
        <w:ind w:left="2130" w:hanging="786"/>
      </w:pPr>
      <w:rPr>
        <w:rFonts w:hint="default"/>
        <w:lang w:val="en-US" w:eastAsia="en-US" w:bidi="en-US"/>
      </w:rPr>
    </w:lvl>
    <w:lvl w:ilvl="2">
      <w:start w:val="0"/>
      <w:numFmt w:val="bullet"/>
      <w:lvlText w:val="•"/>
      <w:lvlJc w:val="left"/>
      <w:pPr>
        <w:ind w:left="3160" w:hanging="786"/>
      </w:pPr>
      <w:rPr>
        <w:rFonts w:hint="default"/>
        <w:lang w:val="en-US" w:eastAsia="en-US" w:bidi="en-US"/>
      </w:rPr>
    </w:lvl>
    <w:lvl w:ilvl="3">
      <w:start w:val="0"/>
      <w:numFmt w:val="bullet"/>
      <w:lvlText w:val="•"/>
      <w:lvlJc w:val="left"/>
      <w:pPr>
        <w:ind w:left="4190" w:hanging="786"/>
      </w:pPr>
      <w:rPr>
        <w:rFonts w:hint="default"/>
        <w:lang w:val="en-US" w:eastAsia="en-US" w:bidi="en-US"/>
      </w:rPr>
    </w:lvl>
    <w:lvl w:ilvl="4">
      <w:start w:val="0"/>
      <w:numFmt w:val="bullet"/>
      <w:lvlText w:val="•"/>
      <w:lvlJc w:val="left"/>
      <w:pPr>
        <w:ind w:left="5220" w:hanging="786"/>
      </w:pPr>
      <w:rPr>
        <w:rFonts w:hint="default"/>
        <w:lang w:val="en-US" w:eastAsia="en-US" w:bidi="en-US"/>
      </w:rPr>
    </w:lvl>
    <w:lvl w:ilvl="5">
      <w:start w:val="0"/>
      <w:numFmt w:val="bullet"/>
      <w:lvlText w:val="•"/>
      <w:lvlJc w:val="left"/>
      <w:pPr>
        <w:ind w:left="6250" w:hanging="786"/>
      </w:pPr>
      <w:rPr>
        <w:rFonts w:hint="default"/>
        <w:lang w:val="en-US" w:eastAsia="en-US" w:bidi="en-US"/>
      </w:rPr>
    </w:lvl>
    <w:lvl w:ilvl="6">
      <w:start w:val="0"/>
      <w:numFmt w:val="bullet"/>
      <w:lvlText w:val="•"/>
      <w:lvlJc w:val="left"/>
      <w:pPr>
        <w:ind w:left="7280" w:hanging="786"/>
      </w:pPr>
      <w:rPr>
        <w:rFonts w:hint="default"/>
        <w:lang w:val="en-US" w:eastAsia="en-US" w:bidi="en-US"/>
      </w:rPr>
    </w:lvl>
    <w:lvl w:ilvl="7">
      <w:start w:val="0"/>
      <w:numFmt w:val="bullet"/>
      <w:lvlText w:val="•"/>
      <w:lvlJc w:val="left"/>
      <w:pPr>
        <w:ind w:left="8310" w:hanging="786"/>
      </w:pPr>
      <w:rPr>
        <w:rFonts w:hint="default"/>
        <w:lang w:val="en-US" w:eastAsia="en-US" w:bidi="en-US"/>
      </w:rPr>
    </w:lvl>
    <w:lvl w:ilvl="8">
      <w:start w:val="0"/>
      <w:numFmt w:val="bullet"/>
      <w:lvlText w:val="•"/>
      <w:lvlJc w:val="left"/>
      <w:pPr>
        <w:ind w:left="9340" w:hanging="786"/>
      </w:pPr>
      <w:rPr>
        <w:rFonts w:hint="default"/>
        <w:lang w:val="en-US" w:eastAsia="en-US" w:bidi="en-US"/>
      </w:rPr>
    </w:lvl>
  </w:abstractNum>
  <w:abstractNum w:abstractNumId="1">
    <w:multiLevelType w:val="hybridMultilevel"/>
    <w:lvl w:ilvl="0">
      <w:start w:val="1"/>
      <w:numFmt w:val="upperRoman"/>
      <w:lvlText w:val="%1."/>
      <w:lvlJc w:val="left"/>
      <w:pPr>
        <w:ind w:left="2242" w:hanging="590"/>
        <w:jc w:val="right"/>
      </w:pPr>
      <w:rPr>
        <w:rFonts w:hint="default"/>
        <w:spacing w:val="-1"/>
        <w:highlight w:val="lightGray"/>
        <w:lang w:val="en-US" w:eastAsia="en-US" w:bidi="en-US"/>
      </w:rPr>
    </w:lvl>
    <w:lvl w:ilvl="1">
      <w:start w:val="1"/>
      <w:numFmt w:val="upperLetter"/>
      <w:lvlText w:val="%2."/>
      <w:lvlJc w:val="left"/>
      <w:pPr>
        <w:ind w:left="2876" w:hanging="710"/>
        <w:jc w:val="left"/>
      </w:pPr>
      <w:rPr>
        <w:rFonts w:hint="default" w:ascii="Times New Roman" w:hAnsi="Times New Roman" w:eastAsia="Times New Roman" w:cs="Times New Roman"/>
        <w:spacing w:val="-4"/>
        <w:w w:val="100"/>
        <w:sz w:val="36"/>
        <w:szCs w:val="36"/>
        <w:lang w:val="en-US" w:eastAsia="en-US" w:bidi="en-US"/>
      </w:rPr>
    </w:lvl>
    <w:lvl w:ilvl="2">
      <w:start w:val="1"/>
      <w:numFmt w:val="decimal"/>
      <w:lvlText w:val="%3."/>
      <w:lvlJc w:val="left"/>
      <w:pPr>
        <w:ind w:left="3682" w:hanging="630"/>
        <w:jc w:val="left"/>
      </w:pPr>
      <w:rPr>
        <w:rFonts w:hint="default" w:ascii="Times New Roman" w:hAnsi="Times New Roman" w:eastAsia="Times New Roman" w:cs="Times New Roman"/>
        <w:spacing w:val="-3"/>
        <w:w w:val="100"/>
        <w:sz w:val="36"/>
        <w:szCs w:val="36"/>
        <w:lang w:val="en-US" w:eastAsia="en-US" w:bidi="en-US"/>
      </w:rPr>
    </w:lvl>
    <w:lvl w:ilvl="3">
      <w:start w:val="0"/>
      <w:numFmt w:val="bullet"/>
      <w:lvlText w:val="•"/>
      <w:lvlJc w:val="left"/>
      <w:pPr>
        <w:ind w:left="4645" w:hanging="630"/>
      </w:pPr>
      <w:rPr>
        <w:rFonts w:hint="default"/>
        <w:lang w:val="en-US" w:eastAsia="en-US" w:bidi="en-US"/>
      </w:rPr>
    </w:lvl>
    <w:lvl w:ilvl="4">
      <w:start w:val="0"/>
      <w:numFmt w:val="bullet"/>
      <w:lvlText w:val="•"/>
      <w:lvlJc w:val="left"/>
      <w:pPr>
        <w:ind w:left="5610" w:hanging="630"/>
      </w:pPr>
      <w:rPr>
        <w:rFonts w:hint="default"/>
        <w:lang w:val="en-US" w:eastAsia="en-US" w:bidi="en-US"/>
      </w:rPr>
    </w:lvl>
    <w:lvl w:ilvl="5">
      <w:start w:val="0"/>
      <w:numFmt w:val="bullet"/>
      <w:lvlText w:val="•"/>
      <w:lvlJc w:val="left"/>
      <w:pPr>
        <w:ind w:left="6575" w:hanging="630"/>
      </w:pPr>
      <w:rPr>
        <w:rFonts w:hint="default"/>
        <w:lang w:val="en-US" w:eastAsia="en-US" w:bidi="en-US"/>
      </w:rPr>
    </w:lvl>
    <w:lvl w:ilvl="6">
      <w:start w:val="0"/>
      <w:numFmt w:val="bullet"/>
      <w:lvlText w:val="•"/>
      <w:lvlJc w:val="left"/>
      <w:pPr>
        <w:ind w:left="7540" w:hanging="630"/>
      </w:pPr>
      <w:rPr>
        <w:rFonts w:hint="default"/>
        <w:lang w:val="en-US" w:eastAsia="en-US" w:bidi="en-US"/>
      </w:rPr>
    </w:lvl>
    <w:lvl w:ilvl="7">
      <w:start w:val="0"/>
      <w:numFmt w:val="bullet"/>
      <w:lvlText w:val="•"/>
      <w:lvlJc w:val="left"/>
      <w:pPr>
        <w:ind w:left="8505" w:hanging="630"/>
      </w:pPr>
      <w:rPr>
        <w:rFonts w:hint="default"/>
        <w:lang w:val="en-US" w:eastAsia="en-US" w:bidi="en-US"/>
      </w:rPr>
    </w:lvl>
    <w:lvl w:ilvl="8">
      <w:start w:val="0"/>
      <w:numFmt w:val="bullet"/>
      <w:lvlText w:val="•"/>
      <w:lvlJc w:val="left"/>
      <w:pPr>
        <w:ind w:left="9470" w:hanging="630"/>
      </w:pPr>
      <w:rPr>
        <w:rFonts w:hint="default"/>
        <w:lang w:val="en-US" w:eastAsia="en-US" w:bidi="en-US"/>
      </w:rPr>
    </w:lvl>
  </w:abstractNum>
  <w:abstractNum w:abstractNumId="0">
    <w:multiLevelType w:val="hybridMultilevel"/>
    <w:lvl w:ilvl="0">
      <w:start w:val="3"/>
      <w:numFmt w:val="decimal"/>
      <w:lvlText w:val="%1-"/>
      <w:lvlJc w:val="left"/>
      <w:pPr>
        <w:ind w:left="2338" w:hanging="360"/>
        <w:jc w:val="left"/>
      </w:pPr>
      <w:rPr>
        <w:rFonts w:hint="default" w:ascii="Times New Roman" w:hAnsi="Times New Roman" w:eastAsia="Times New Roman" w:cs="Times New Roman"/>
        <w:color w:val="333333"/>
        <w:w w:val="100"/>
        <w:sz w:val="36"/>
        <w:szCs w:val="36"/>
        <w:lang w:val="en-US" w:eastAsia="en-US" w:bidi="en-US"/>
      </w:rPr>
    </w:lvl>
    <w:lvl w:ilvl="1">
      <w:start w:val="0"/>
      <w:numFmt w:val="bullet"/>
      <w:lvlText w:val="•"/>
      <w:lvlJc w:val="left"/>
      <w:pPr>
        <w:ind w:left="3246" w:hanging="360"/>
      </w:pPr>
      <w:rPr>
        <w:rFonts w:hint="default"/>
        <w:lang w:val="en-US" w:eastAsia="en-US" w:bidi="en-US"/>
      </w:rPr>
    </w:lvl>
    <w:lvl w:ilvl="2">
      <w:start w:val="0"/>
      <w:numFmt w:val="bullet"/>
      <w:lvlText w:val="•"/>
      <w:lvlJc w:val="left"/>
      <w:pPr>
        <w:ind w:left="4152" w:hanging="360"/>
      </w:pPr>
      <w:rPr>
        <w:rFonts w:hint="default"/>
        <w:lang w:val="en-US" w:eastAsia="en-US" w:bidi="en-US"/>
      </w:rPr>
    </w:lvl>
    <w:lvl w:ilvl="3">
      <w:start w:val="0"/>
      <w:numFmt w:val="bullet"/>
      <w:lvlText w:val="•"/>
      <w:lvlJc w:val="left"/>
      <w:pPr>
        <w:ind w:left="5058" w:hanging="360"/>
      </w:pPr>
      <w:rPr>
        <w:rFonts w:hint="default"/>
        <w:lang w:val="en-US" w:eastAsia="en-US" w:bidi="en-US"/>
      </w:rPr>
    </w:lvl>
    <w:lvl w:ilvl="4">
      <w:start w:val="0"/>
      <w:numFmt w:val="bullet"/>
      <w:lvlText w:val="•"/>
      <w:lvlJc w:val="left"/>
      <w:pPr>
        <w:ind w:left="5964" w:hanging="360"/>
      </w:pPr>
      <w:rPr>
        <w:rFonts w:hint="default"/>
        <w:lang w:val="en-US" w:eastAsia="en-US" w:bidi="en-US"/>
      </w:rPr>
    </w:lvl>
    <w:lvl w:ilvl="5">
      <w:start w:val="0"/>
      <w:numFmt w:val="bullet"/>
      <w:lvlText w:val="•"/>
      <w:lvlJc w:val="left"/>
      <w:pPr>
        <w:ind w:left="6870" w:hanging="360"/>
      </w:pPr>
      <w:rPr>
        <w:rFonts w:hint="default"/>
        <w:lang w:val="en-US" w:eastAsia="en-US" w:bidi="en-US"/>
      </w:rPr>
    </w:lvl>
    <w:lvl w:ilvl="6">
      <w:start w:val="0"/>
      <w:numFmt w:val="bullet"/>
      <w:lvlText w:val="•"/>
      <w:lvlJc w:val="left"/>
      <w:pPr>
        <w:ind w:left="7776" w:hanging="360"/>
      </w:pPr>
      <w:rPr>
        <w:rFonts w:hint="default"/>
        <w:lang w:val="en-US" w:eastAsia="en-US" w:bidi="en-US"/>
      </w:rPr>
    </w:lvl>
    <w:lvl w:ilvl="7">
      <w:start w:val="0"/>
      <w:numFmt w:val="bullet"/>
      <w:lvlText w:val="•"/>
      <w:lvlJc w:val="left"/>
      <w:pPr>
        <w:ind w:left="8682" w:hanging="360"/>
      </w:pPr>
      <w:rPr>
        <w:rFonts w:hint="default"/>
        <w:lang w:val="en-US" w:eastAsia="en-US" w:bidi="en-US"/>
      </w:rPr>
    </w:lvl>
    <w:lvl w:ilvl="8">
      <w:start w:val="0"/>
      <w:numFmt w:val="bullet"/>
      <w:lvlText w:val="•"/>
      <w:lvlJc w:val="left"/>
      <w:pPr>
        <w:ind w:left="9588" w:hanging="360"/>
      </w:pPr>
      <w:rPr>
        <w:rFonts w:hint="default"/>
        <w:lang w:val="en-US" w:eastAsia="en-US" w:bidi="en-US"/>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ind w:left="388"/>
    </w:pPr>
    <w:rPr>
      <w:rFonts w:ascii="Times New Roman" w:hAnsi="Times New Roman" w:eastAsia="Times New Roman" w:cs="Times New Roman"/>
      <w:sz w:val="36"/>
      <w:szCs w:val="36"/>
      <w:lang w:val="en-US" w:eastAsia="en-US" w:bidi="en-US"/>
    </w:rPr>
  </w:style>
  <w:style w:styleId="Heading1" w:type="paragraph">
    <w:name w:val="Heading 1"/>
    <w:basedOn w:val="Normal"/>
    <w:uiPriority w:val="1"/>
    <w:qFormat/>
    <w:pPr>
      <w:spacing w:before="60"/>
      <w:ind w:left="1464"/>
      <w:jc w:val="center"/>
      <w:outlineLvl w:val="1"/>
    </w:pPr>
    <w:rPr>
      <w:rFonts w:ascii="Times New Roman" w:hAnsi="Times New Roman" w:eastAsia="Times New Roman" w:cs="Times New Roman"/>
      <w:b/>
      <w:bCs/>
      <w:sz w:val="36"/>
      <w:szCs w:val="36"/>
      <w:lang w:val="en-US" w:eastAsia="en-US" w:bidi="en-US"/>
    </w:rPr>
  </w:style>
  <w:style w:styleId="Heading2" w:type="paragraph">
    <w:name w:val="Heading 2"/>
    <w:basedOn w:val="Normal"/>
    <w:uiPriority w:val="1"/>
    <w:qFormat/>
    <w:pPr>
      <w:spacing w:before="60"/>
      <w:ind w:left="388"/>
      <w:outlineLvl w:val="2"/>
    </w:pPr>
    <w:rPr>
      <w:rFonts w:ascii="Times New Roman" w:hAnsi="Times New Roman" w:eastAsia="Times New Roman" w:cs="Times New Roman"/>
      <w:b/>
      <w:bCs/>
      <w:i/>
      <w:sz w:val="36"/>
      <w:szCs w:val="36"/>
      <w:u w:val="single" w:color="000000"/>
      <w:lang w:val="en-US" w:eastAsia="en-US" w:bidi="en-US"/>
    </w:rPr>
  </w:style>
  <w:style w:styleId="ListParagraph" w:type="paragraph">
    <w:name w:val="List Paragraph"/>
    <w:basedOn w:val="Normal"/>
    <w:uiPriority w:val="1"/>
    <w:qFormat/>
    <w:pPr>
      <w:ind w:left="2876" w:hanging="710"/>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png"/><Relationship Id="rId14" Type="http://schemas.openxmlformats.org/officeDocument/2006/relationships/image" Target="media/image9.jpeg"/><Relationship Id="rId15" Type="http://schemas.openxmlformats.org/officeDocument/2006/relationships/image" Target="media/image10.png"/><Relationship Id="rId16" Type="http://schemas.openxmlformats.org/officeDocument/2006/relationships/image" Target="media/image11.jpeg"/><Relationship Id="rId17" Type="http://schemas.openxmlformats.org/officeDocument/2006/relationships/image" Target="media/image12.jpeg"/><Relationship Id="rId18" Type="http://schemas.openxmlformats.org/officeDocument/2006/relationships/image" Target="media/image13.jpeg"/><Relationship Id="rId19" Type="http://schemas.openxmlformats.org/officeDocument/2006/relationships/image" Target="media/image14.png"/><Relationship Id="rId20" Type="http://schemas.openxmlformats.org/officeDocument/2006/relationships/image" Target="media/image15.jpeg"/><Relationship Id="rId21" Type="http://schemas.openxmlformats.org/officeDocument/2006/relationships/footer" Target="footer2.xml"/><Relationship Id="rId22" Type="http://schemas.openxmlformats.org/officeDocument/2006/relationships/image" Target="media/image16.jpeg"/><Relationship Id="rId23" Type="http://schemas.openxmlformats.org/officeDocument/2006/relationships/image" Target="media/image17.jpeg"/><Relationship Id="rId2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dcterms:created xsi:type="dcterms:W3CDTF">2020-06-13T14:55:26Z</dcterms:created>
  <dcterms:modified xsi:type="dcterms:W3CDTF">2020-06-13T14:55:26Z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2017-03-26T00:00:00Z</vt:filetime>
  </property>
  <property fmtid="{D5CDD505-2E9C-101B-9397-08002B2CF9AE}" pid="3" name="Creator">
    <vt:lpwstr>Writer</vt:lpwstr>
  </property>
  <property fmtid="{D5CDD505-2E9C-101B-9397-08002B2CF9AE}" pid="4" name="LastSaved">
    <vt:filetime>2017-03-26T00:00:00Z</vt:filetime>
  </property>
</Properties>
</file>