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0E89" w:rsidRPr="00B80E89" w:rsidRDefault="00B80E89" w:rsidP="00B80E89">
      <w:p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  <w:b/>
          <w:bCs/>
        </w:rPr>
        <w:t>Demonstration Experiment on Gas Chromatography (GC)</w:t>
      </w:r>
    </w:p>
    <w:p w:rsidR="00B80E89" w:rsidRPr="00B80E89" w:rsidRDefault="00B80E89" w:rsidP="00B80E89">
      <w:p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pict>
          <v:rect id="_x0000_i1079" style="width:0;height:1.5pt" o:hralign="center" o:hrstd="t" o:hr="t" fillcolor="#a0a0a0" stroked="f"/>
        </w:pict>
      </w:r>
    </w:p>
    <w:p w:rsidR="00B80E89" w:rsidRPr="00B80E89" w:rsidRDefault="00B80E89" w:rsidP="00B80E89">
      <w:pPr>
        <w:rPr>
          <w:rFonts w:ascii="Times New Roman" w:hAnsi="Times New Roman" w:cs="Times New Roman"/>
          <w:b/>
          <w:bCs/>
        </w:rPr>
      </w:pPr>
      <w:r w:rsidRPr="00B80E89">
        <w:rPr>
          <w:rFonts w:ascii="Times New Roman" w:hAnsi="Times New Roman" w:cs="Times New Roman"/>
          <w:b/>
          <w:bCs/>
        </w:rPr>
        <w:t>Demonstration Experiment: Separation and Identification of Volatile Compounds by Gas Chromatography</w:t>
      </w:r>
    </w:p>
    <w:p w:rsidR="00B80E89" w:rsidRPr="00B80E89" w:rsidRDefault="00B80E89" w:rsidP="00B80E89">
      <w:pPr>
        <w:rPr>
          <w:rFonts w:ascii="Times New Roman" w:hAnsi="Times New Roman" w:cs="Times New Roman"/>
          <w:b/>
          <w:bCs/>
        </w:rPr>
      </w:pPr>
      <w:r w:rsidRPr="00B80E89">
        <w:rPr>
          <w:rFonts w:ascii="Times New Roman" w:hAnsi="Times New Roman" w:cs="Times New Roman"/>
          <w:b/>
          <w:bCs/>
        </w:rPr>
        <w:t>Objective:</w:t>
      </w:r>
    </w:p>
    <w:p w:rsidR="00B80E89" w:rsidRPr="00B80E89" w:rsidRDefault="00B80E89" w:rsidP="00B80E89">
      <w:p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t>To demonstrate the separation of a mixture of volatile organic compounds using gas chromatography and to interpret chromatographic data (retention time and peak area).</w:t>
      </w:r>
    </w:p>
    <w:p w:rsidR="00B80E89" w:rsidRPr="00B80E89" w:rsidRDefault="00B80E89" w:rsidP="00B80E89">
      <w:p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pict>
          <v:rect id="_x0000_i1080" style="width:0;height:1.5pt" o:hralign="center" o:hrstd="t" o:hr="t" fillcolor="#a0a0a0" stroked="f"/>
        </w:pict>
      </w:r>
    </w:p>
    <w:p w:rsidR="00B80E89" w:rsidRPr="00B80E89" w:rsidRDefault="00B80E89" w:rsidP="00B80E89">
      <w:pPr>
        <w:rPr>
          <w:rFonts w:ascii="Times New Roman" w:hAnsi="Times New Roman" w:cs="Times New Roman"/>
          <w:b/>
          <w:bCs/>
        </w:rPr>
      </w:pPr>
      <w:r w:rsidRPr="00B80E89">
        <w:rPr>
          <w:rFonts w:ascii="Times New Roman" w:hAnsi="Times New Roman" w:cs="Times New Roman"/>
          <w:b/>
          <w:bCs/>
        </w:rPr>
        <w:t>Principle:</w:t>
      </w:r>
    </w:p>
    <w:p w:rsidR="00B80E89" w:rsidRPr="00B80E89" w:rsidRDefault="00B80E89" w:rsidP="00B80E89">
      <w:p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t>Gas Chromatography is a separation technique where the components of a volatile sample are distributed between a mobile gas phase (carrier gas) and a stationary phase (usually a liquid coated on a solid support inside a column). Components are separated based on differences in volatility and interaction with the stationary phase.</w:t>
      </w:r>
    </w:p>
    <w:p w:rsidR="00B80E89" w:rsidRPr="00B80E89" w:rsidRDefault="00B80E89" w:rsidP="00B80E89">
      <w:p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pict>
          <v:rect id="_x0000_i1081" style="width:0;height:1.5pt" o:hralign="center" o:hrstd="t" o:hr="t" fillcolor="#a0a0a0" stroked="f"/>
        </w:pict>
      </w:r>
    </w:p>
    <w:p w:rsidR="00B80E89" w:rsidRPr="00B80E89" w:rsidRDefault="00B80E89" w:rsidP="00B80E89">
      <w:pPr>
        <w:rPr>
          <w:rFonts w:ascii="Times New Roman" w:hAnsi="Times New Roman" w:cs="Times New Roman"/>
          <w:b/>
          <w:bCs/>
        </w:rPr>
      </w:pPr>
      <w:r w:rsidRPr="00B80E89">
        <w:rPr>
          <w:rFonts w:ascii="Times New Roman" w:hAnsi="Times New Roman" w:cs="Times New Roman"/>
          <w:b/>
          <w:bCs/>
        </w:rPr>
        <w:t>Apparatus &amp; Materials:</w:t>
      </w:r>
    </w:p>
    <w:p w:rsidR="00B80E89" w:rsidRPr="00B80E89" w:rsidRDefault="00B80E89" w:rsidP="00B80E8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t>Gas chromatograph with thermal conductivity detector (TCD) or flame ionization detector (FID)</w:t>
      </w:r>
    </w:p>
    <w:p w:rsidR="00B80E89" w:rsidRPr="00B80E89" w:rsidRDefault="00B80E89" w:rsidP="00B80E8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t>Capillary or packed GC column (e.g., non-polar column like DB-1 or polar like Carbowax)</w:t>
      </w:r>
    </w:p>
    <w:p w:rsidR="00B80E89" w:rsidRPr="00B80E89" w:rsidRDefault="00B80E89" w:rsidP="00B80E8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t>Syringes (1–10 µL)</w:t>
      </w:r>
    </w:p>
    <w:p w:rsidR="00B80E89" w:rsidRPr="00B80E89" w:rsidRDefault="00B80E89" w:rsidP="00B80E8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t>Computer with chromatography software</w:t>
      </w:r>
    </w:p>
    <w:p w:rsidR="00B80E89" w:rsidRPr="00B80E89" w:rsidRDefault="00B80E89" w:rsidP="00B80E8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t>Carrier gas (usually Helium or Nitrogen)</w:t>
      </w:r>
    </w:p>
    <w:p w:rsidR="00B80E89" w:rsidRPr="00B80E89" w:rsidRDefault="00B80E89" w:rsidP="00B80E8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t>Sample mixture: e.g., mixture of ethanol, acetone, and toluene</w:t>
      </w:r>
    </w:p>
    <w:p w:rsidR="00B80E89" w:rsidRPr="00B80E89" w:rsidRDefault="00B80E89" w:rsidP="00B80E89">
      <w:p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pict>
          <v:rect id="_x0000_i1082" style="width:0;height:1.5pt" o:hralign="center" o:hrstd="t" o:hr="t" fillcolor="#a0a0a0" stroked="f"/>
        </w:pict>
      </w:r>
    </w:p>
    <w:p w:rsidR="00B80E89" w:rsidRPr="00B80E89" w:rsidRDefault="00B80E89" w:rsidP="00B80E89">
      <w:pPr>
        <w:rPr>
          <w:rFonts w:ascii="Times New Roman" w:hAnsi="Times New Roman" w:cs="Times New Roman"/>
          <w:b/>
          <w:bCs/>
        </w:rPr>
      </w:pPr>
      <w:r w:rsidRPr="00B80E89">
        <w:rPr>
          <w:rFonts w:ascii="Times New Roman" w:hAnsi="Times New Roman" w:cs="Times New Roman"/>
          <w:b/>
          <w:bCs/>
        </w:rPr>
        <w:t>Chemicals:</w:t>
      </w:r>
    </w:p>
    <w:p w:rsidR="00B80E89" w:rsidRPr="00B80E89" w:rsidRDefault="00B80E89" w:rsidP="00B80E8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t>Ethanol (C₂H₅OH)</w:t>
      </w:r>
    </w:p>
    <w:p w:rsidR="00B80E89" w:rsidRPr="00B80E89" w:rsidRDefault="00B80E89" w:rsidP="00B80E8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t>Acetone (CH₃COCH₃)</w:t>
      </w:r>
    </w:p>
    <w:p w:rsidR="00B80E89" w:rsidRPr="00B80E89" w:rsidRDefault="00B80E89" w:rsidP="00B80E8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t>Toluene (C₆H₅CH₃)</w:t>
      </w:r>
    </w:p>
    <w:p w:rsidR="00B80E89" w:rsidRPr="00B80E89" w:rsidRDefault="00B80E89" w:rsidP="00B80E8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t>Methanol or other volatile solvents (optional)</w:t>
      </w:r>
    </w:p>
    <w:p w:rsidR="00B80E89" w:rsidRPr="00B80E89" w:rsidRDefault="00B80E89" w:rsidP="00B80E89">
      <w:p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pict>
          <v:rect id="_x0000_i1083" style="width:0;height:1.5pt" o:hralign="center" o:hrstd="t" o:hr="t" fillcolor="#a0a0a0" stroked="f"/>
        </w:pict>
      </w:r>
    </w:p>
    <w:p w:rsidR="00B80E89" w:rsidRPr="00B80E89" w:rsidRDefault="00B80E89" w:rsidP="00B80E89">
      <w:pPr>
        <w:rPr>
          <w:rFonts w:ascii="Times New Roman" w:hAnsi="Times New Roman" w:cs="Times New Roman"/>
          <w:b/>
          <w:bCs/>
        </w:rPr>
      </w:pPr>
      <w:r w:rsidRPr="00B80E89">
        <w:rPr>
          <w:rFonts w:ascii="Times New Roman" w:hAnsi="Times New Roman" w:cs="Times New Roman"/>
          <w:b/>
          <w:bCs/>
        </w:rPr>
        <w:t>Experimental Procedure:</w:t>
      </w:r>
    </w:p>
    <w:p w:rsidR="00B80E89" w:rsidRPr="00B80E89" w:rsidRDefault="00B80E89" w:rsidP="00B80E8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  <w:b/>
          <w:bCs/>
        </w:rPr>
        <w:t>Instrument Setup:</w:t>
      </w:r>
    </w:p>
    <w:p w:rsidR="00B80E89" w:rsidRPr="00B80E89" w:rsidRDefault="00B80E89" w:rsidP="00B80E89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t>Turn on the GC system and allow it to equilibrate (column temperature, detector, and injector).</w:t>
      </w:r>
    </w:p>
    <w:p w:rsidR="00B80E89" w:rsidRPr="00B80E89" w:rsidRDefault="00B80E89" w:rsidP="00B80E89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t>Set the oven temperature: e.g., start at 40°C and ramp up to 200°C at 10°C/min.</w:t>
      </w:r>
    </w:p>
    <w:p w:rsidR="00B80E89" w:rsidRPr="00B80E89" w:rsidRDefault="00B80E89" w:rsidP="00B80E89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t>Set detector and injector temperatures (usually ~250°C).</w:t>
      </w:r>
    </w:p>
    <w:p w:rsidR="00B80E89" w:rsidRPr="00B80E89" w:rsidRDefault="00B80E89" w:rsidP="00B80E89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lastRenderedPageBreak/>
        <w:t>Ensure carrier gas flow is stable (e.g., 1 mL/min for He).</w:t>
      </w:r>
    </w:p>
    <w:p w:rsidR="00B80E89" w:rsidRPr="00B80E89" w:rsidRDefault="00B80E89" w:rsidP="00B80E8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  <w:b/>
          <w:bCs/>
        </w:rPr>
        <w:t>Sample Preparation:</w:t>
      </w:r>
    </w:p>
    <w:p w:rsidR="00B80E89" w:rsidRPr="00B80E89" w:rsidRDefault="00B80E89" w:rsidP="00B80E89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t>Prepare a diluted solution of ethanol, acetone, and toluene in methanol or water.</w:t>
      </w:r>
    </w:p>
    <w:p w:rsidR="00B80E89" w:rsidRPr="00B80E89" w:rsidRDefault="00B80E89" w:rsidP="00B80E89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t>Load 1–2 µL of the mixture into a clean syringe.</w:t>
      </w:r>
    </w:p>
    <w:p w:rsidR="00B80E89" w:rsidRPr="00B80E89" w:rsidRDefault="00B80E89" w:rsidP="00B80E8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  <w:b/>
          <w:bCs/>
        </w:rPr>
        <w:t>Injection:</w:t>
      </w:r>
    </w:p>
    <w:p w:rsidR="00B80E89" w:rsidRPr="00B80E89" w:rsidRDefault="00B80E89" w:rsidP="00B80E89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t>Inject the sample into the GC injector port quickly and smoothly.</w:t>
      </w:r>
    </w:p>
    <w:p w:rsidR="00B80E89" w:rsidRPr="00B80E89" w:rsidRDefault="00B80E89" w:rsidP="00B80E89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t>Start the chromatographic run and record the chromatogram.</w:t>
      </w:r>
    </w:p>
    <w:p w:rsidR="00B80E89" w:rsidRPr="00B80E89" w:rsidRDefault="00B80E89" w:rsidP="00B80E8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  <w:b/>
          <w:bCs/>
        </w:rPr>
        <w:t>Observation:</w:t>
      </w:r>
    </w:p>
    <w:p w:rsidR="00B80E89" w:rsidRPr="00B80E89" w:rsidRDefault="00B80E89" w:rsidP="00B80E89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t>Monitor the chromatogram for peaks corresponding to each component.</w:t>
      </w:r>
    </w:p>
    <w:p w:rsidR="00B80E89" w:rsidRPr="00B80E89" w:rsidRDefault="00B80E89" w:rsidP="00B80E89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t>Record retention times and peak areas.</w:t>
      </w:r>
    </w:p>
    <w:p w:rsidR="00B80E89" w:rsidRPr="00B80E89" w:rsidRDefault="00B80E89" w:rsidP="00B80E89">
      <w:p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pict>
          <v:rect id="_x0000_i1084" style="width:0;height:1.5pt" o:hralign="center" o:hrstd="t" o:hr="t" fillcolor="#a0a0a0" stroked="f"/>
        </w:pict>
      </w:r>
    </w:p>
    <w:p w:rsidR="00B80E89" w:rsidRPr="00B80E89" w:rsidRDefault="00B80E89" w:rsidP="00B80E89">
      <w:pPr>
        <w:rPr>
          <w:rFonts w:ascii="Times New Roman" w:hAnsi="Times New Roman" w:cs="Times New Roman"/>
          <w:b/>
          <w:bCs/>
        </w:rPr>
      </w:pPr>
      <w:r w:rsidRPr="00B80E89">
        <w:rPr>
          <w:rFonts w:ascii="Times New Roman" w:hAnsi="Times New Roman" w:cs="Times New Roman"/>
          <w:b/>
          <w:bCs/>
        </w:rPr>
        <w:t>Results and Interpretation: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3360"/>
        <w:gridCol w:w="1028"/>
        <w:gridCol w:w="1768"/>
      </w:tblGrid>
      <w:tr w:rsidR="00B80E89" w:rsidRPr="00B80E89" w:rsidTr="00B80E8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80E89" w:rsidRPr="00B80E89" w:rsidRDefault="00B80E89" w:rsidP="00B80E89">
            <w:pPr>
              <w:rPr>
                <w:rFonts w:ascii="Times New Roman" w:hAnsi="Times New Roman" w:cs="Times New Roman"/>
                <w:b/>
                <w:bCs/>
              </w:rPr>
            </w:pPr>
            <w:r w:rsidRPr="00B80E89">
              <w:rPr>
                <w:rFonts w:ascii="Times New Roman" w:hAnsi="Times New Roman" w:cs="Times New Roman"/>
                <w:b/>
                <w:bCs/>
              </w:rPr>
              <w:t>Compound</w:t>
            </w:r>
          </w:p>
        </w:tc>
        <w:tc>
          <w:tcPr>
            <w:tcW w:w="0" w:type="auto"/>
            <w:vAlign w:val="center"/>
            <w:hideMark/>
          </w:tcPr>
          <w:p w:rsidR="00B80E89" w:rsidRPr="00B80E89" w:rsidRDefault="00B80E89" w:rsidP="00B80E89">
            <w:pPr>
              <w:rPr>
                <w:rFonts w:ascii="Times New Roman" w:hAnsi="Times New Roman" w:cs="Times New Roman"/>
                <w:b/>
                <w:bCs/>
              </w:rPr>
            </w:pPr>
            <w:r w:rsidRPr="00B80E89">
              <w:rPr>
                <w:rFonts w:ascii="Times New Roman" w:hAnsi="Times New Roman" w:cs="Times New Roman"/>
                <w:b/>
                <w:bCs/>
              </w:rPr>
              <w:t>Expected Retention Time (approx.)</w:t>
            </w:r>
          </w:p>
        </w:tc>
        <w:tc>
          <w:tcPr>
            <w:tcW w:w="0" w:type="auto"/>
            <w:vAlign w:val="center"/>
            <w:hideMark/>
          </w:tcPr>
          <w:p w:rsidR="00B80E89" w:rsidRPr="00B80E89" w:rsidRDefault="00B80E89" w:rsidP="00B80E89">
            <w:pPr>
              <w:rPr>
                <w:rFonts w:ascii="Times New Roman" w:hAnsi="Times New Roman" w:cs="Times New Roman"/>
                <w:b/>
                <w:bCs/>
              </w:rPr>
            </w:pPr>
            <w:r w:rsidRPr="00B80E89">
              <w:rPr>
                <w:rFonts w:ascii="Times New Roman" w:hAnsi="Times New Roman" w:cs="Times New Roman"/>
                <w:b/>
                <w:bCs/>
              </w:rPr>
              <w:t>Peak Area</w:t>
            </w:r>
          </w:p>
        </w:tc>
        <w:tc>
          <w:tcPr>
            <w:tcW w:w="0" w:type="auto"/>
            <w:vAlign w:val="center"/>
            <w:hideMark/>
          </w:tcPr>
          <w:p w:rsidR="00B80E89" w:rsidRPr="00B80E89" w:rsidRDefault="00B80E89" w:rsidP="00B80E89">
            <w:pPr>
              <w:rPr>
                <w:rFonts w:ascii="Times New Roman" w:hAnsi="Times New Roman" w:cs="Times New Roman"/>
                <w:b/>
                <w:bCs/>
              </w:rPr>
            </w:pPr>
            <w:r w:rsidRPr="00B80E89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B80E89" w:rsidRPr="00B80E89" w:rsidTr="00B80E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E89" w:rsidRPr="00B80E89" w:rsidRDefault="00B80E89" w:rsidP="00B80E89">
            <w:pPr>
              <w:rPr>
                <w:rFonts w:ascii="Times New Roman" w:hAnsi="Times New Roman" w:cs="Times New Roman"/>
              </w:rPr>
            </w:pPr>
            <w:r w:rsidRPr="00B80E89">
              <w:rPr>
                <w:rFonts w:ascii="Times New Roman" w:hAnsi="Times New Roman" w:cs="Times New Roman"/>
              </w:rPr>
              <w:t>Acetone</w:t>
            </w:r>
          </w:p>
        </w:tc>
        <w:tc>
          <w:tcPr>
            <w:tcW w:w="0" w:type="auto"/>
            <w:vAlign w:val="center"/>
            <w:hideMark/>
          </w:tcPr>
          <w:p w:rsidR="00B80E89" w:rsidRPr="00B80E89" w:rsidRDefault="00B80E89" w:rsidP="00B80E89">
            <w:pPr>
              <w:rPr>
                <w:rFonts w:ascii="Times New Roman" w:hAnsi="Times New Roman" w:cs="Times New Roman"/>
              </w:rPr>
            </w:pPr>
            <w:r w:rsidRPr="00B80E89">
              <w:rPr>
                <w:rFonts w:ascii="Times New Roman" w:hAnsi="Times New Roman" w:cs="Times New Roman"/>
              </w:rPr>
              <w:t>~2.5 min</w:t>
            </w:r>
          </w:p>
        </w:tc>
        <w:tc>
          <w:tcPr>
            <w:tcW w:w="0" w:type="auto"/>
            <w:vAlign w:val="center"/>
            <w:hideMark/>
          </w:tcPr>
          <w:p w:rsidR="00B80E89" w:rsidRPr="00B80E89" w:rsidRDefault="00B80E89" w:rsidP="00B80E89">
            <w:pPr>
              <w:rPr>
                <w:rFonts w:ascii="Times New Roman" w:hAnsi="Times New Roman" w:cs="Times New Roman"/>
              </w:rPr>
            </w:pPr>
            <w:r w:rsidRPr="00B80E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80E89" w:rsidRPr="00B80E89" w:rsidRDefault="00B80E89" w:rsidP="00B80E89">
            <w:pPr>
              <w:rPr>
                <w:rFonts w:ascii="Times New Roman" w:hAnsi="Times New Roman" w:cs="Times New Roman"/>
              </w:rPr>
            </w:pPr>
            <w:r w:rsidRPr="00B80E89">
              <w:rPr>
                <w:rFonts w:ascii="Times New Roman" w:hAnsi="Times New Roman" w:cs="Times New Roman"/>
              </w:rPr>
              <w:t>Most volatile</w:t>
            </w:r>
          </w:p>
        </w:tc>
      </w:tr>
      <w:tr w:rsidR="00B80E89" w:rsidRPr="00B80E89" w:rsidTr="00B80E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E89" w:rsidRPr="00B80E89" w:rsidRDefault="00B80E89" w:rsidP="00B80E89">
            <w:pPr>
              <w:rPr>
                <w:rFonts w:ascii="Times New Roman" w:hAnsi="Times New Roman" w:cs="Times New Roman"/>
              </w:rPr>
            </w:pPr>
            <w:r w:rsidRPr="00B80E89">
              <w:rPr>
                <w:rFonts w:ascii="Times New Roman" w:hAnsi="Times New Roman" w:cs="Times New Roman"/>
              </w:rPr>
              <w:t>Ethanol</w:t>
            </w:r>
          </w:p>
        </w:tc>
        <w:tc>
          <w:tcPr>
            <w:tcW w:w="0" w:type="auto"/>
            <w:vAlign w:val="center"/>
            <w:hideMark/>
          </w:tcPr>
          <w:p w:rsidR="00B80E89" w:rsidRPr="00B80E89" w:rsidRDefault="00B80E89" w:rsidP="00B80E89">
            <w:pPr>
              <w:rPr>
                <w:rFonts w:ascii="Times New Roman" w:hAnsi="Times New Roman" w:cs="Times New Roman"/>
              </w:rPr>
            </w:pPr>
            <w:r w:rsidRPr="00B80E89">
              <w:rPr>
                <w:rFonts w:ascii="Times New Roman" w:hAnsi="Times New Roman" w:cs="Times New Roman"/>
              </w:rPr>
              <w:t>~3.5 min</w:t>
            </w:r>
          </w:p>
        </w:tc>
        <w:tc>
          <w:tcPr>
            <w:tcW w:w="0" w:type="auto"/>
            <w:vAlign w:val="center"/>
            <w:hideMark/>
          </w:tcPr>
          <w:p w:rsidR="00B80E89" w:rsidRPr="00B80E89" w:rsidRDefault="00B80E89" w:rsidP="00B80E89">
            <w:pPr>
              <w:rPr>
                <w:rFonts w:ascii="Times New Roman" w:hAnsi="Times New Roman" w:cs="Times New Roman"/>
              </w:rPr>
            </w:pPr>
            <w:r w:rsidRPr="00B80E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80E89" w:rsidRPr="00B80E89" w:rsidRDefault="00B80E89" w:rsidP="00B80E89">
            <w:pPr>
              <w:rPr>
                <w:rFonts w:ascii="Times New Roman" w:hAnsi="Times New Roman" w:cs="Times New Roman"/>
              </w:rPr>
            </w:pPr>
            <w:r w:rsidRPr="00B80E89">
              <w:rPr>
                <w:rFonts w:ascii="Times New Roman" w:hAnsi="Times New Roman" w:cs="Times New Roman"/>
              </w:rPr>
              <w:t>Moderate volatility</w:t>
            </w:r>
          </w:p>
        </w:tc>
      </w:tr>
      <w:tr w:rsidR="00B80E89" w:rsidRPr="00B80E89" w:rsidTr="00B80E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E89" w:rsidRPr="00B80E89" w:rsidRDefault="00B80E89" w:rsidP="00B80E89">
            <w:pPr>
              <w:rPr>
                <w:rFonts w:ascii="Times New Roman" w:hAnsi="Times New Roman" w:cs="Times New Roman"/>
              </w:rPr>
            </w:pPr>
            <w:r w:rsidRPr="00B80E89">
              <w:rPr>
                <w:rFonts w:ascii="Times New Roman" w:hAnsi="Times New Roman" w:cs="Times New Roman"/>
              </w:rPr>
              <w:t>Toluene</w:t>
            </w:r>
          </w:p>
        </w:tc>
        <w:tc>
          <w:tcPr>
            <w:tcW w:w="0" w:type="auto"/>
            <w:vAlign w:val="center"/>
            <w:hideMark/>
          </w:tcPr>
          <w:p w:rsidR="00B80E89" w:rsidRPr="00B80E89" w:rsidRDefault="00B80E89" w:rsidP="00B80E89">
            <w:pPr>
              <w:rPr>
                <w:rFonts w:ascii="Times New Roman" w:hAnsi="Times New Roman" w:cs="Times New Roman"/>
              </w:rPr>
            </w:pPr>
            <w:r w:rsidRPr="00B80E89">
              <w:rPr>
                <w:rFonts w:ascii="Times New Roman" w:hAnsi="Times New Roman" w:cs="Times New Roman"/>
              </w:rPr>
              <w:t>~6.0 min</w:t>
            </w:r>
          </w:p>
        </w:tc>
        <w:tc>
          <w:tcPr>
            <w:tcW w:w="0" w:type="auto"/>
            <w:vAlign w:val="center"/>
            <w:hideMark/>
          </w:tcPr>
          <w:p w:rsidR="00B80E89" w:rsidRPr="00B80E89" w:rsidRDefault="00B80E89" w:rsidP="00B80E89">
            <w:pPr>
              <w:rPr>
                <w:rFonts w:ascii="Times New Roman" w:hAnsi="Times New Roman" w:cs="Times New Roman"/>
              </w:rPr>
            </w:pPr>
            <w:r w:rsidRPr="00B80E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80E89" w:rsidRPr="00B80E89" w:rsidRDefault="00B80E89" w:rsidP="00B80E89">
            <w:pPr>
              <w:rPr>
                <w:rFonts w:ascii="Times New Roman" w:hAnsi="Times New Roman" w:cs="Times New Roman"/>
              </w:rPr>
            </w:pPr>
            <w:r w:rsidRPr="00B80E89">
              <w:rPr>
                <w:rFonts w:ascii="Times New Roman" w:hAnsi="Times New Roman" w:cs="Times New Roman"/>
              </w:rPr>
              <w:t>Least volatile</w:t>
            </w:r>
          </w:p>
        </w:tc>
      </w:tr>
    </w:tbl>
    <w:p w:rsidR="00B80E89" w:rsidRPr="00B80E89" w:rsidRDefault="00B80E89" w:rsidP="00B80E8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t>Peaks are identified based on known standards.</w:t>
      </w:r>
    </w:p>
    <w:p w:rsidR="00B80E89" w:rsidRPr="00B80E89" w:rsidRDefault="00B80E89" w:rsidP="00B80E8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t>The area under each peak is proportional to the amount of compound.</w:t>
      </w:r>
    </w:p>
    <w:p w:rsidR="00B80E89" w:rsidRPr="00B80E89" w:rsidRDefault="00B80E89" w:rsidP="00B80E89">
      <w:p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pict>
          <v:rect id="_x0000_i1085" style="width:0;height:1.5pt" o:hralign="center" o:hrstd="t" o:hr="t" fillcolor="#a0a0a0" stroked="f"/>
        </w:pict>
      </w:r>
    </w:p>
    <w:p w:rsidR="00B80E89" w:rsidRPr="00B80E89" w:rsidRDefault="00B80E89" w:rsidP="00B80E89">
      <w:pPr>
        <w:rPr>
          <w:rFonts w:ascii="Times New Roman" w:hAnsi="Times New Roman" w:cs="Times New Roman"/>
          <w:b/>
          <w:bCs/>
        </w:rPr>
      </w:pPr>
      <w:r w:rsidRPr="00B80E89">
        <w:rPr>
          <w:rFonts w:ascii="Times New Roman" w:hAnsi="Times New Roman" w:cs="Times New Roman"/>
          <w:b/>
          <w:bCs/>
        </w:rPr>
        <w:t>Conclusion:</w:t>
      </w:r>
    </w:p>
    <w:p w:rsidR="00B80E89" w:rsidRPr="00B80E89" w:rsidRDefault="00B80E89" w:rsidP="00B80E89">
      <w:p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t>This demonstration illustrates the principle of gas chromatography, showing how volatile compounds are separated based on their interactions with the column and their boiling points. The retention time is a key parameter for qualitative analysis, and peak area is used for quantification.</w:t>
      </w:r>
    </w:p>
    <w:p w:rsidR="00B80E89" w:rsidRPr="00B80E89" w:rsidRDefault="00B80E89" w:rsidP="00B80E89">
      <w:p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pict>
          <v:rect id="_x0000_i1086" style="width:0;height:1.5pt" o:hralign="center" o:hrstd="t" o:hr="t" fillcolor="#a0a0a0" stroked="f"/>
        </w:pict>
      </w:r>
    </w:p>
    <w:p w:rsidR="00B80E89" w:rsidRPr="00B80E89" w:rsidRDefault="00B80E89" w:rsidP="00B80E89">
      <w:pPr>
        <w:rPr>
          <w:rFonts w:ascii="Times New Roman" w:hAnsi="Times New Roman" w:cs="Times New Roman"/>
          <w:b/>
          <w:bCs/>
        </w:rPr>
      </w:pPr>
      <w:r w:rsidRPr="00B80E89">
        <w:rPr>
          <w:rFonts w:ascii="Times New Roman" w:hAnsi="Times New Roman" w:cs="Times New Roman"/>
          <w:b/>
          <w:bCs/>
        </w:rPr>
        <w:t>Precautions:</w:t>
      </w:r>
    </w:p>
    <w:p w:rsidR="00B80E89" w:rsidRPr="00B80E89" w:rsidRDefault="00B80E89" w:rsidP="00B80E8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t>Ensure all fittings are leak-tight.</w:t>
      </w:r>
    </w:p>
    <w:p w:rsidR="00B80E89" w:rsidRPr="00B80E89" w:rsidRDefault="00B80E89" w:rsidP="00B80E8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t>Use high-purity carrier gas.</w:t>
      </w:r>
    </w:p>
    <w:p w:rsidR="00B80E89" w:rsidRPr="00B80E89" w:rsidRDefault="00B80E89" w:rsidP="00B80E8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t>Do not overload the column with too much sample.</w:t>
      </w:r>
    </w:p>
    <w:p w:rsidR="00B80E89" w:rsidRPr="00B80E89" w:rsidRDefault="00B80E89" w:rsidP="00B80E8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t>Handle volatile organic compounds in a fume hood.</w:t>
      </w:r>
    </w:p>
    <w:p w:rsidR="00DC0474" w:rsidRPr="00B80E89" w:rsidRDefault="00B80E89">
      <w:pPr>
        <w:rPr>
          <w:rFonts w:ascii="Times New Roman" w:hAnsi="Times New Roman" w:cs="Times New Roman"/>
        </w:rPr>
      </w:pPr>
      <w:r w:rsidRPr="00B80E89">
        <w:rPr>
          <w:rFonts w:ascii="Times New Roman" w:hAnsi="Times New Roman" w:cs="Times New Roman"/>
        </w:rPr>
        <w:pict>
          <v:rect id="_x0000_i1087" style="width:0;height:1.5pt" o:hralign="center" o:hrstd="t" o:hr="t" fillcolor="#a0a0a0" stroked="f"/>
        </w:pict>
      </w:r>
    </w:p>
    <w:sectPr w:rsidR="00DC0474" w:rsidRPr="00B80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30307"/>
    <w:multiLevelType w:val="multilevel"/>
    <w:tmpl w:val="BD4C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E0385"/>
    <w:multiLevelType w:val="multilevel"/>
    <w:tmpl w:val="8308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C3BE0"/>
    <w:multiLevelType w:val="multilevel"/>
    <w:tmpl w:val="9FC82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7735A1"/>
    <w:multiLevelType w:val="multilevel"/>
    <w:tmpl w:val="25A4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F30FEC"/>
    <w:multiLevelType w:val="multilevel"/>
    <w:tmpl w:val="EF34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268255">
    <w:abstractNumId w:val="1"/>
  </w:num>
  <w:num w:numId="2" w16cid:durableId="1780564470">
    <w:abstractNumId w:val="0"/>
  </w:num>
  <w:num w:numId="3" w16cid:durableId="1730418929">
    <w:abstractNumId w:val="2"/>
  </w:num>
  <w:num w:numId="4" w16cid:durableId="161311669">
    <w:abstractNumId w:val="4"/>
  </w:num>
  <w:num w:numId="5" w16cid:durableId="1008675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89"/>
    <w:rsid w:val="001F0F71"/>
    <w:rsid w:val="00781EE7"/>
    <w:rsid w:val="007957B1"/>
    <w:rsid w:val="008B52B4"/>
    <w:rsid w:val="00B80E89"/>
    <w:rsid w:val="00DC0474"/>
    <w:rsid w:val="00DC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C5E2D3"/>
  <w15:chartTrackingRefBased/>
  <w15:docId w15:val="{45BACD83-94AF-48EB-AC6F-2D0FEDC1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E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E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E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E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E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E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E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2300</Characters>
  <Application>Microsoft Office Word</Application>
  <DocSecurity>0</DocSecurity>
  <Lines>71</Lines>
  <Paragraphs>61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SHYAMA SUNDAR SAHU</dc:creator>
  <cp:keywords/>
  <dc:description/>
  <cp:lastModifiedBy>SHYAMA SUNDAR SAHU</cp:lastModifiedBy>
  <cp:revision>1</cp:revision>
  <dcterms:created xsi:type="dcterms:W3CDTF">2025-07-13T16:04:00Z</dcterms:created>
  <dcterms:modified xsi:type="dcterms:W3CDTF">2025-07-13T16:04:00Z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e04f5be7-44c5-4808-8ab9-17ce8c710d3f</vt:lpwstr>
  </property>
</Properties>
</file>